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55" w:type="dxa"/>
        <w:jc w:val="left"/>
        <w:tblInd w:w="0" w:type="dxa"/>
        <w:tblCellMar>
          <w:top w:w="55" w:type="dxa"/>
          <w:left w:w="55" w:type="dxa"/>
          <w:bottom w:w="55" w:type="dxa"/>
          <w:right w:w="55" w:type="dxa"/>
        </w:tblCellMar>
      </w:tblPr>
      <w:tblGrid>
        <w:gridCol w:w="3849"/>
        <w:gridCol w:w="1749"/>
        <w:gridCol w:w="4057"/>
      </w:tblGrid>
      <w:tr>
        <w:trPr/>
        <w:tc>
          <w:tcPr>
            <w:tcW w:w="3849" w:type="dxa"/>
            <w:tcBorders/>
            <w:shd w:fill="auto" w:val="clear"/>
          </w:tcPr>
          <w:p>
            <w:pPr>
              <w:pStyle w:val="Style25"/>
              <w:snapToGrid w:val="false"/>
              <w:rPr>
                <w:rFonts w:ascii="Times New Roman" w:hAnsi="Times New Roman"/>
                <w:b/>
                <w:b/>
                <w:bCs/>
                <w:sz w:val="24"/>
                <w:szCs w:val="24"/>
              </w:rPr>
            </w:pPr>
            <w:r>
              <w:rPr>
                <w:b/>
                <w:bCs/>
                <w:sz w:val="24"/>
                <w:szCs w:val="24"/>
              </w:rPr>
            </w:r>
          </w:p>
        </w:tc>
        <w:tc>
          <w:tcPr>
            <w:tcW w:w="1749" w:type="dxa"/>
            <w:tcBorders/>
            <w:shd w:fill="auto" w:val="clear"/>
          </w:tcPr>
          <w:p>
            <w:pPr>
              <w:pStyle w:val="Style25"/>
              <w:snapToGrid w:val="false"/>
              <w:jc w:val="left"/>
              <w:rPr>
                <w:rFonts w:ascii="Times New Roman" w:hAnsi="Times New Roman" w:cs="Liberation Serif;Times New Roman"/>
                <w:b/>
                <w:b/>
                <w:bCs/>
                <w:i w:val="false"/>
                <w:i w:val="false"/>
                <w:iCs w:val="false"/>
                <w:strike w:val="false"/>
                <w:dstrike w:val="false"/>
                <w:outline w:val="false"/>
                <w:shadow w:val="false"/>
                <w:color w:val="000000"/>
                <w:sz w:val="24"/>
                <w:szCs w:val="24"/>
                <w:u w:val="none"/>
              </w:rPr>
            </w:pPr>
            <w:r>
              <w:rPr>
                <w:rFonts w:cs="Liberation Serif;Times New Roman"/>
                <w:b/>
                <w:bCs/>
                <w:i w:val="false"/>
                <w:iCs w:val="false"/>
                <w:strike w:val="false"/>
                <w:dstrike w:val="false"/>
                <w:outline w:val="false"/>
                <w:shadow w:val="false"/>
                <w:color w:val="000000"/>
                <w:sz w:val="24"/>
                <w:szCs w:val="24"/>
                <w:u w:val="none"/>
              </w:rPr>
            </w:r>
          </w:p>
        </w:tc>
        <w:tc>
          <w:tcPr>
            <w:tcW w:w="4057" w:type="dxa"/>
            <w:tcBorders/>
            <w:shd w:fill="auto" w:val="clear"/>
          </w:tcPr>
          <w:p>
            <w:pPr>
              <w:pStyle w:val="Style25"/>
              <w:rPr>
                <w:rFonts w:ascii="Times New Roman" w:hAnsi="Times New Roman"/>
                <w:sz w:val="24"/>
                <w:szCs w:val="24"/>
              </w:rPr>
            </w:pPr>
            <w:r>
              <w:rPr>
                <w:b/>
                <w:bCs/>
                <w:sz w:val="24"/>
                <w:szCs w:val="24"/>
              </w:rPr>
              <w:t>Утверждаю</w:t>
              <w:br/>
              <w:t>И.О. главного врача КГП на ПХВ «Бородулихинская центральная районная больница» УЗ ВКО</w:t>
              <w:br/>
              <w:br/>
              <w:t>__________________ Нурекенов О.З.</w:t>
              <w:br/>
              <w:br/>
              <w:t>«___» ________________ 2019 г</w:t>
              <w:br/>
              <w:t>приказ №259 от 13.08.2019г</w:t>
            </w:r>
          </w:p>
        </w:tc>
      </w:tr>
    </w:tbl>
    <w:p>
      <w:pPr>
        <w:pStyle w:val="Normal"/>
        <w:keepNext w:val="true"/>
        <w:numPr>
          <w:ilvl w:val="0"/>
          <w:numId w:val="0"/>
        </w:numPr>
        <w:ind w:left="6480" w:right="0" w:hanging="0"/>
        <w:jc w:val="both"/>
        <w:rPr>
          <w:rFonts w:ascii="Times New Roman" w:hAnsi="Times New Roman"/>
          <w:sz w:val="24"/>
          <w:szCs w:val="24"/>
        </w:rPr>
      </w:pPr>
      <w:r>
        <w:rPr>
          <w:sz w:val="24"/>
          <w:szCs w:val="24"/>
        </w:rPr>
        <w:t xml:space="preserve">                                                                                           </w:t>
      </w:r>
    </w:p>
    <w:p>
      <w:pPr>
        <w:pStyle w:val="Style21"/>
        <w:spacing w:before="0" w:after="0"/>
        <w:jc w:val="both"/>
        <w:rPr>
          <w:rFonts w:ascii="Times New Roman" w:hAnsi="Times New Roman"/>
          <w:sz w:val="24"/>
          <w:szCs w:val="24"/>
          <w:lang w:val="ru-RU"/>
        </w:rPr>
      </w:pPr>
      <w:r>
        <w:rPr>
          <w:sz w:val="24"/>
          <w:szCs w:val="24"/>
          <w:lang w:val="ru-RU"/>
        </w:rPr>
      </w:r>
    </w:p>
    <w:p>
      <w:pPr>
        <w:pStyle w:val="Heading3"/>
        <w:numPr>
          <w:ilvl w:val="2"/>
          <w:numId w:val="2"/>
        </w:numPr>
        <w:rPr>
          <w:rFonts w:ascii="Times New Roman" w:hAnsi="Times New Roman"/>
          <w:sz w:val="24"/>
          <w:szCs w:val="24"/>
        </w:rPr>
      </w:pPr>
      <w:r>
        <w:rPr>
          <w:rFonts w:ascii="Times New Roman" w:hAnsi="Times New Roman"/>
          <w:b/>
          <w:sz w:val="24"/>
          <w:szCs w:val="24"/>
        </w:rPr>
        <w:t>ТЕНДЕРНАЯ ДОКУМЕНТАЦИЯ</w:t>
        <w:br/>
        <w:t xml:space="preserve">предоставляемая </w:t>
      </w:r>
      <w:r>
        <w:rPr>
          <w:rFonts w:ascii="Times New Roman" w:hAnsi="Times New Roman"/>
          <w:sz w:val="24"/>
          <w:szCs w:val="24"/>
        </w:rPr>
        <w:t>потенциальным</w:t>
      </w:r>
      <w:r>
        <w:rPr>
          <w:rFonts w:ascii="Times New Roman" w:hAnsi="Times New Roman"/>
          <w:b/>
          <w:sz w:val="24"/>
          <w:szCs w:val="24"/>
        </w:rPr>
        <w:t xml:space="preserve"> поставщикам для  подготовки тендерных  заявок и участия в тендере</w:t>
      </w:r>
      <w:r>
        <w:rPr>
          <w:rFonts w:eastAsia="Times New Roman" w:cs="Times New Roman" w:ascii="Times New Roman" w:hAnsi="Times New Roman"/>
          <w:b/>
          <w:bCs/>
          <w:i w:val="false"/>
          <w:iCs w:val="false"/>
          <w:color w:val="auto"/>
          <w:kern w:val="0"/>
          <w:sz w:val="24"/>
          <w:szCs w:val="24"/>
          <w:lang w:val="ru-RU" w:eastAsia="zh-CN" w:bidi="ar-SA"/>
        </w:rPr>
        <w:t xml:space="preserve"> №3 «</w:t>
      </w: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em w:val="none"/>
          <w:lang w:val="ru-RU" w:eastAsia="zh-CN" w:bidi="ar-SA"/>
        </w:rPr>
        <w:t>Аппарат для ингаляционной терапии</w:t>
      </w:r>
      <w:r>
        <w:rPr>
          <w:rFonts w:ascii="Times New Roman" w:hAnsi="Times New Roman"/>
          <w:b/>
          <w:sz w:val="24"/>
          <w:szCs w:val="24"/>
        </w:rPr>
        <w:t>» для КГП на ПХВ «Бородулихинская центральная районная больница» УЗ ВКО на 201</w:t>
      </w:r>
      <w:r>
        <w:rPr>
          <w:rFonts w:ascii="Times New Roman" w:hAnsi="Times New Roman"/>
          <w:b/>
          <w:sz w:val="24"/>
          <w:szCs w:val="24"/>
          <w:lang w:val="kk-KZ"/>
        </w:rPr>
        <w:t>9</w:t>
      </w:r>
      <w:r>
        <w:rPr>
          <w:rFonts w:ascii="Times New Roman" w:hAnsi="Times New Roman"/>
          <w:b/>
          <w:sz w:val="24"/>
          <w:szCs w:val="24"/>
        </w:rPr>
        <w:t xml:space="preserve"> год</w:t>
      </w:r>
    </w:p>
    <w:p>
      <w:pPr>
        <w:pStyle w:val="Normal"/>
        <w:rPr>
          <w:rFonts w:ascii="Times New Roman" w:hAnsi="Times New Roman"/>
          <w:sz w:val="24"/>
          <w:szCs w:val="24"/>
        </w:rPr>
      </w:pPr>
      <w:r>
        <w:rPr>
          <w:sz w:val="24"/>
          <w:szCs w:val="24"/>
        </w:rPr>
        <w:t xml:space="preserve">Настоящая тендерная документация, предоставляемая организатором тендера  потенциальным поставщикам для подготовки тендерных заявок и участия в </w:t>
      </w:r>
      <w:r>
        <w:rPr>
          <w:i/>
          <w:sz w:val="24"/>
          <w:szCs w:val="24"/>
        </w:rPr>
        <w:t xml:space="preserve"> </w:t>
      </w:r>
      <w:r>
        <w:rPr>
          <w:b/>
          <w:i w:val="false"/>
          <w:iCs w:val="false"/>
          <w:sz w:val="24"/>
          <w:szCs w:val="24"/>
        </w:rPr>
        <w:t>тендере №3 «</w:t>
      </w:r>
      <w:r>
        <w:rPr>
          <w:rFonts w:eastAsia="Times New Roman" w:cs="Times New Roman"/>
          <w:b/>
          <w:bCs/>
          <w:i w:val="false"/>
          <w:iCs w:val="false"/>
          <w:strike w:val="false"/>
          <w:dstrike w:val="false"/>
          <w:outline w:val="false"/>
          <w:shadow w:val="false"/>
          <w:color w:val="auto"/>
          <w:kern w:val="0"/>
          <w:sz w:val="24"/>
          <w:szCs w:val="24"/>
          <w:u w:val="none"/>
          <w:em w:val="none"/>
          <w:lang w:val="ru-RU" w:eastAsia="zh-CN" w:bidi="ar-SA"/>
        </w:rPr>
        <w:t>Аппарат для ингаляционной терапии</w:t>
      </w:r>
      <w:r>
        <w:rPr>
          <w:b/>
          <w:i w:val="false"/>
          <w:iCs w:val="false"/>
          <w:sz w:val="24"/>
          <w:szCs w:val="24"/>
        </w:rPr>
        <w:t>» для КГП на ПХВ «Бородулихинская центральная районная больница» УЗ ВКО на 201</w:t>
      </w:r>
      <w:r>
        <w:rPr>
          <w:b/>
          <w:i w:val="false"/>
          <w:iCs w:val="false"/>
          <w:sz w:val="24"/>
          <w:szCs w:val="24"/>
          <w:lang w:val="kk-KZ"/>
        </w:rPr>
        <w:t>9</w:t>
      </w:r>
      <w:r>
        <w:rPr>
          <w:b/>
          <w:i w:val="false"/>
          <w:iCs w:val="false"/>
          <w:sz w:val="24"/>
          <w:szCs w:val="24"/>
        </w:rPr>
        <w:t xml:space="preserve"> год,</w:t>
      </w:r>
      <w:r>
        <w:rPr>
          <w:i w:val="false"/>
          <w:iCs w:val="false"/>
          <w:sz w:val="24"/>
          <w:szCs w:val="24"/>
        </w:rPr>
        <w:t xml:space="preserve"> </w:t>
      </w:r>
      <w:r>
        <w:rPr>
          <w:sz w:val="24"/>
          <w:szCs w:val="24"/>
        </w:rPr>
        <w:t xml:space="preserve">(далее – тендерная документация) разработана в соответствии с </w:t>
      </w:r>
      <w:bookmarkStart w:id="0" w:name="z7"/>
      <w:bookmarkEnd w:id="0"/>
      <w:r>
        <w:rPr>
          <w:bCs/>
          <w:sz w:val="24"/>
          <w:szCs w:val="24"/>
        </w:rPr>
        <w:t>Правилами организации и проведения закупа лекарственных средств, медицинских изделий и фармацевтических услуг</w:t>
      </w:r>
      <w:r>
        <w:rPr>
          <w:sz w:val="24"/>
          <w:szCs w:val="24"/>
        </w:rPr>
        <w:t>, утвержденных постановлением Правительства Республики Казахстан от 30 октября 2009 года № 1729 , (далее – Правила).</w:t>
      </w:r>
    </w:p>
    <w:p>
      <w:pPr>
        <w:pStyle w:val="Normal"/>
        <w:rPr>
          <w:rFonts w:ascii="Times New Roman" w:hAnsi="Times New Roman"/>
          <w:sz w:val="24"/>
          <w:szCs w:val="24"/>
        </w:rPr>
      </w:pPr>
      <w:r>
        <w:rPr>
          <w:sz w:val="24"/>
          <w:szCs w:val="24"/>
        </w:rPr>
        <w:t>Организатор тендера:</w:t>
      </w:r>
    </w:p>
    <w:p>
      <w:pPr>
        <w:pStyle w:val="Normal"/>
        <w:rPr>
          <w:rFonts w:ascii="Times New Roman" w:hAnsi="Times New Roman"/>
          <w:sz w:val="24"/>
          <w:szCs w:val="24"/>
        </w:rPr>
      </w:pPr>
      <w:r>
        <w:rPr>
          <w:bCs/>
          <w:sz w:val="24"/>
          <w:szCs w:val="24"/>
        </w:rPr>
        <w:t>КГП на ПХВ «Бородулихинская центральная районная больница» УЗ ВКО, Восточно-Казахстанская область, с. Бородулиха, ул. Ф.Середина, 66, БИН 08</w:t>
      </w:r>
      <w:r>
        <w:rPr>
          <w:bCs/>
          <w:sz w:val="24"/>
          <w:szCs w:val="24"/>
          <w:lang w:val="kk-KZ"/>
        </w:rPr>
        <w:t>0640019859</w:t>
      </w:r>
      <w:r>
        <w:rPr>
          <w:bCs/>
          <w:sz w:val="24"/>
          <w:szCs w:val="24"/>
        </w:rPr>
        <w:t xml:space="preserve">, ИИК </w:t>
      </w:r>
      <w:r>
        <w:rPr>
          <w:sz w:val="24"/>
          <w:szCs w:val="24"/>
          <w:lang w:val="en-US"/>
        </w:rPr>
        <w:t>KZ116017261000000216</w:t>
      </w:r>
      <w:r>
        <w:rPr>
          <w:bCs/>
          <w:sz w:val="24"/>
          <w:szCs w:val="24"/>
        </w:rPr>
        <w:t xml:space="preserve">, БИК </w:t>
      </w:r>
      <w:r>
        <w:rPr>
          <w:bCs/>
          <w:sz w:val="24"/>
          <w:szCs w:val="24"/>
          <w:lang w:val="en-US"/>
        </w:rPr>
        <w:t>HSBKKZKX</w:t>
      </w:r>
      <w:r>
        <w:rPr>
          <w:bCs/>
          <w:sz w:val="24"/>
          <w:szCs w:val="24"/>
        </w:rPr>
        <w:t xml:space="preserve">, </w:t>
      </w:r>
      <w:r>
        <w:rPr>
          <w:bCs/>
          <w:sz w:val="24"/>
          <w:szCs w:val="24"/>
          <w:lang w:val="kk-KZ"/>
        </w:rPr>
        <w:t>АО «Народный банк Казахстана</w:t>
      </w:r>
      <w:r>
        <w:rPr>
          <w:bCs/>
          <w:sz w:val="24"/>
          <w:szCs w:val="24"/>
        </w:rPr>
        <w:t>, КБе 16.</w:t>
      </w:r>
      <w:r>
        <w:rPr>
          <w:b/>
          <w:sz w:val="24"/>
          <w:szCs w:val="24"/>
        </w:rPr>
        <w:t xml:space="preserve"> </w:t>
      </w:r>
    </w:p>
    <w:p>
      <w:pPr>
        <w:pStyle w:val="Normal"/>
        <w:rPr>
          <w:rFonts w:ascii="Times New Roman" w:hAnsi="Times New Roman"/>
          <w:sz w:val="24"/>
          <w:szCs w:val="24"/>
        </w:rPr>
      </w:pPr>
      <w:r>
        <w:rPr>
          <w:sz w:val="24"/>
          <w:szCs w:val="24"/>
        </w:rPr>
        <w:t>Тендерная документация предоставляется бесплатно.</w:t>
      </w:r>
    </w:p>
    <w:p>
      <w:pPr>
        <w:pStyle w:val="Heading3"/>
        <w:numPr>
          <w:ilvl w:val="2"/>
          <w:numId w:val="2"/>
        </w:numPr>
        <w:rPr>
          <w:rFonts w:ascii="Times New Roman" w:hAnsi="Times New Roman"/>
          <w:sz w:val="24"/>
          <w:szCs w:val="24"/>
        </w:rPr>
      </w:pPr>
      <w:r>
        <w:rPr>
          <w:rFonts w:ascii="Times New Roman" w:hAnsi="Times New Roman"/>
          <w:sz w:val="24"/>
          <w:szCs w:val="24"/>
        </w:rPr>
        <w:t>1. Общие положения</w:t>
      </w:r>
    </w:p>
    <w:p>
      <w:pPr>
        <w:pStyle w:val="Normal"/>
        <w:rPr>
          <w:rFonts w:ascii="Times New Roman" w:hAnsi="Times New Roman"/>
          <w:sz w:val="24"/>
          <w:szCs w:val="24"/>
        </w:rPr>
      </w:pPr>
      <w:r>
        <w:rPr>
          <w:sz w:val="24"/>
          <w:szCs w:val="24"/>
        </w:rPr>
        <w:t xml:space="preserve">1.1. Тендер №3 </w:t>
      </w:r>
      <w:r>
        <w:rPr>
          <w:rFonts w:eastAsia="Times New Roman" w:cs="Times New Roman"/>
          <w:b w:val="false"/>
          <w:bCs w:val="false"/>
          <w:color w:val="auto"/>
          <w:kern w:val="0"/>
          <w:sz w:val="24"/>
          <w:szCs w:val="24"/>
          <w:lang w:val="ru-RU" w:eastAsia="zh-CN" w:bidi="ar-SA"/>
        </w:rPr>
        <w:t>«</w:t>
      </w:r>
      <w:r>
        <w:rPr>
          <w:rFonts w:eastAsia="Times New Roman" w:cs="Times New Roman"/>
          <w:b w:val="false"/>
          <w:bCs w:val="false"/>
          <w:i w:val="false"/>
          <w:iCs w:val="false"/>
          <w:strike w:val="false"/>
          <w:dstrike w:val="false"/>
          <w:outline w:val="false"/>
          <w:shadow w:val="false"/>
          <w:color w:val="auto"/>
          <w:kern w:val="0"/>
          <w:sz w:val="24"/>
          <w:szCs w:val="24"/>
          <w:u w:val="none"/>
          <w:em w:val="none"/>
          <w:lang w:val="ru-RU" w:eastAsia="zh-CN" w:bidi="ar-SA"/>
        </w:rPr>
        <w:t>Аппарат для ингаляционной терапии</w:t>
      </w:r>
      <w:r>
        <w:rPr>
          <w:rFonts w:eastAsia="Times New Roman" w:cs="Times New Roman"/>
          <w:b w:val="false"/>
          <w:bCs w:val="false"/>
          <w:color w:val="auto"/>
          <w:kern w:val="0"/>
          <w:sz w:val="24"/>
          <w:szCs w:val="24"/>
          <w:lang w:val="ru-RU" w:eastAsia="zh-CN" w:bidi="ar-SA"/>
        </w:rPr>
        <w:t xml:space="preserve">» </w:t>
      </w:r>
      <w:r>
        <w:rPr>
          <w:sz w:val="24"/>
          <w:szCs w:val="24"/>
        </w:rPr>
        <w:t xml:space="preserve">проводится с целью выбора поставщика(ов) </w:t>
      </w:r>
      <w:r>
        <w:rPr>
          <w:b w:val="false"/>
          <w:bCs w:val="false"/>
          <w:i w:val="false"/>
          <w:iCs w:val="false"/>
          <w:sz w:val="24"/>
          <w:szCs w:val="24"/>
        </w:rPr>
        <w:t>по закупу медицинского оборудования для КГП на ПХВ «Бородулихинская центральная районная больница» УЗ ВКО на 201</w:t>
      </w:r>
      <w:r>
        <w:rPr>
          <w:b w:val="false"/>
          <w:bCs w:val="false"/>
          <w:i w:val="false"/>
          <w:iCs w:val="false"/>
          <w:sz w:val="24"/>
          <w:szCs w:val="24"/>
          <w:lang w:val="kk-KZ"/>
        </w:rPr>
        <w:t>9</w:t>
      </w:r>
      <w:r>
        <w:rPr>
          <w:b w:val="false"/>
          <w:bCs w:val="false"/>
          <w:i w:val="false"/>
          <w:iCs w:val="false"/>
          <w:sz w:val="24"/>
          <w:szCs w:val="24"/>
        </w:rPr>
        <w:t xml:space="preserve"> год.</w:t>
      </w:r>
    </w:p>
    <w:p>
      <w:pPr>
        <w:pStyle w:val="Normal"/>
        <w:rPr>
          <w:rFonts w:ascii="Times New Roman" w:hAnsi="Times New Roman"/>
          <w:sz w:val="24"/>
          <w:szCs w:val="24"/>
        </w:rPr>
      </w:pPr>
      <w:r>
        <w:rPr>
          <w:sz w:val="24"/>
          <w:szCs w:val="24"/>
          <w:lang w:val="ru-RU"/>
        </w:rPr>
        <w:t>1.2</w:t>
      </w:r>
      <w:r>
        <w:rPr>
          <w:sz w:val="24"/>
          <w:szCs w:val="24"/>
        </w:rPr>
        <w:t>. Настоящая тендерная документация включает в себя:</w:t>
      </w:r>
    </w:p>
    <w:p>
      <w:pPr>
        <w:pStyle w:val="Normal"/>
        <w:rPr/>
      </w:pPr>
      <w:r>
        <w:rPr>
          <w:rStyle w:val="S0"/>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pPr>
        <w:pStyle w:val="Normal"/>
        <w:rPr/>
      </w:pPr>
      <w:r>
        <w:rPr>
          <w:rStyle w:val="S0"/>
          <w:sz w:val="24"/>
          <w:szCs w:val="24"/>
        </w:rPr>
        <w:t>2) технические и качественные характеристики закупаемых товаров, включая технические спецификации;</w:t>
      </w:r>
    </w:p>
    <w:p>
      <w:pPr>
        <w:pStyle w:val="Normal"/>
        <w:rPr/>
      </w:pPr>
      <w:r>
        <w:rPr>
          <w:rStyle w:val="S0"/>
          <w:sz w:val="24"/>
          <w:szCs w:val="24"/>
        </w:rPr>
        <w:t>3) объем закупаемых товаров и суммы, выделенные для их закупа по каждому лоту;</w:t>
      </w:r>
    </w:p>
    <w:p>
      <w:pPr>
        <w:pStyle w:val="Normal"/>
        <w:rPr/>
      </w:pPr>
      <w:r>
        <w:rPr>
          <w:rStyle w:val="S0"/>
          <w:sz w:val="24"/>
          <w:szCs w:val="24"/>
        </w:rPr>
        <w:t>4) место, сроки и другие условия поставки;</w:t>
      </w:r>
    </w:p>
    <w:p>
      <w:pPr>
        <w:pStyle w:val="Normal"/>
        <w:rPr/>
      </w:pPr>
      <w:r>
        <w:rPr>
          <w:rStyle w:val="S0"/>
          <w:sz w:val="24"/>
          <w:szCs w:val="24"/>
        </w:rPr>
        <w:t>5) условия платежей и проект договора закупа по формам, утвержденным уполномоченным органом в области здравоохранения;</w:t>
      </w:r>
    </w:p>
    <w:p>
      <w:pPr>
        <w:pStyle w:val="Normal"/>
        <w:rPr/>
      </w:pPr>
      <w:r>
        <w:rPr>
          <w:rStyle w:val="S0"/>
          <w:sz w:val="24"/>
          <w:szCs w:val="24"/>
        </w:rPr>
        <w:t>6) требования к языкам тендерной заявки, договора закупа;</w:t>
      </w:r>
    </w:p>
    <w:p>
      <w:pPr>
        <w:pStyle w:val="Normal"/>
        <w:rPr/>
      </w:pPr>
      <w:r>
        <w:rPr>
          <w:rStyle w:val="S0"/>
          <w:sz w:val="24"/>
          <w:szCs w:val="24"/>
        </w:rPr>
        <w:t>7) требования к оформлению тендерной заявки;</w:t>
      </w:r>
    </w:p>
    <w:p>
      <w:pPr>
        <w:pStyle w:val="Normal"/>
        <w:rPr/>
      </w:pPr>
      <w:r>
        <w:rPr>
          <w:rStyle w:val="S0"/>
          <w:sz w:val="24"/>
          <w:szCs w:val="24"/>
        </w:rPr>
        <w:t>8) порядок, форму и сроки внесения гарантийного обеспечения тендерной заявки;</w:t>
      </w:r>
    </w:p>
    <w:p>
      <w:pPr>
        <w:pStyle w:val="Normal"/>
        <w:rPr/>
      </w:pPr>
      <w:r>
        <w:rPr>
          <w:rStyle w:val="S0"/>
          <w:sz w:val="24"/>
          <w:szCs w:val="24"/>
        </w:rPr>
        <w:t>9) указание на возможность и порядок отзыва тендерной заявки;</w:t>
      </w:r>
    </w:p>
    <w:p>
      <w:pPr>
        <w:pStyle w:val="Normal"/>
        <w:rPr/>
      </w:pPr>
      <w:r>
        <w:rPr>
          <w:rStyle w:val="S0"/>
          <w:sz w:val="24"/>
          <w:szCs w:val="24"/>
        </w:rPr>
        <w:t>10) место и окончательный срок приема тендерных заявок и срок их действия;</w:t>
      </w:r>
    </w:p>
    <w:p>
      <w:pPr>
        <w:pStyle w:val="Normal"/>
        <w:rPr/>
      </w:pPr>
      <w:r>
        <w:rPr>
          <w:rStyle w:val="S0"/>
          <w:sz w:val="24"/>
          <w:szCs w:val="24"/>
        </w:rP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Normal"/>
        <w:rPr/>
      </w:pPr>
      <w:r>
        <w:rPr>
          <w:rStyle w:val="S0"/>
          <w:sz w:val="24"/>
          <w:szCs w:val="24"/>
        </w:rPr>
        <w:t>12) место, дату, время и процедуру вскрытия конвертов с тендерными заявками;</w:t>
      </w:r>
    </w:p>
    <w:p>
      <w:pPr>
        <w:pStyle w:val="Normal"/>
        <w:rPr/>
      </w:pPr>
      <w:r>
        <w:rPr>
          <w:rStyle w:val="S0"/>
          <w:sz w:val="24"/>
          <w:szCs w:val="24"/>
        </w:rPr>
        <w:t>13) процедуру рассмотрения тендерных заявок;</w:t>
      </w:r>
    </w:p>
    <w:p>
      <w:pPr>
        <w:pStyle w:val="Normal"/>
        <w:rPr/>
      </w:pPr>
      <w:r>
        <w:rPr>
          <w:rStyle w:val="S0"/>
          <w:sz w:val="24"/>
          <w:szCs w:val="24"/>
        </w:rPr>
        <w:t>14) условия предоставления потенциальным поставщикам - отечественным товаропроизводителям поддержки, определенные Правилами;</w:t>
      </w:r>
    </w:p>
    <w:p>
      <w:pPr>
        <w:pStyle w:val="Normal"/>
        <w:rPr/>
      </w:pPr>
      <w:r>
        <w:rPr>
          <w:rStyle w:val="S0"/>
          <w:sz w:val="24"/>
          <w:szCs w:val="24"/>
        </w:rPr>
        <w:t>15) условия внесения, форму, объем и способ гарантийного обеспечения договора закупа;</w:t>
      </w:r>
    </w:p>
    <w:p>
      <w:pPr>
        <w:pStyle w:val="Normal"/>
        <w:rPr/>
      </w:pPr>
      <w:r>
        <w:rPr>
          <w:rStyle w:val="S0"/>
          <w:sz w:val="24"/>
          <w:szCs w:val="24"/>
        </w:rPr>
        <w:t>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Normal"/>
        <w:rPr/>
      </w:pPr>
      <w:r>
        <w:rPr>
          <w:rStyle w:val="S0"/>
          <w:sz w:val="24"/>
          <w:szCs w:val="24"/>
        </w:rPr>
        <w:t>В случае индивидуальной непереносимости пациента,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фармацевтических услуг);</w:t>
      </w:r>
    </w:p>
    <w:p>
      <w:pPr>
        <w:pStyle w:val="Normal"/>
        <w:rPr>
          <w:rFonts w:ascii="Times New Roman" w:hAnsi="Times New Roman"/>
          <w:sz w:val="24"/>
          <w:szCs w:val="24"/>
        </w:rPr>
      </w:pPr>
      <w:r>
        <w:rPr>
          <w:sz w:val="24"/>
          <w:szCs w:val="24"/>
        </w:rPr>
        <w:t>17) перечень и количество медицинской техники;</w:t>
      </w:r>
    </w:p>
    <w:p>
      <w:pPr>
        <w:pStyle w:val="Normal"/>
        <w:rPr/>
      </w:pPr>
      <w:r>
        <w:rPr>
          <w:rStyle w:val="S0"/>
          <w:sz w:val="24"/>
          <w:szCs w:val="24"/>
        </w:rPr>
        <w:t>18) сведения о квалификации согласно форме, утвержденной уполномоченным органом в области здравоохранения;</w:t>
      </w:r>
    </w:p>
    <w:p>
      <w:pPr>
        <w:pStyle w:val="Normal"/>
        <w:rPr/>
      </w:pPr>
      <w:r>
        <w:rPr>
          <w:rStyle w:val="S0"/>
          <w:sz w:val="24"/>
          <w:szCs w:val="24"/>
        </w:rPr>
        <w:t>19) требования к товарам, установленны</w:t>
      </w:r>
      <w:r>
        <w:rPr>
          <w:rStyle w:val="S0"/>
          <w:color w:val="auto"/>
          <w:sz w:val="24"/>
          <w:szCs w:val="24"/>
          <w:u w:val="none"/>
        </w:rPr>
        <w:t xml:space="preserve">е </w:t>
      </w:r>
      <w:r>
        <w:rPr>
          <w:rStyle w:val="A"/>
          <w:color w:val="auto"/>
          <w:sz w:val="24"/>
          <w:szCs w:val="24"/>
          <w:u w:val="none"/>
        </w:rPr>
        <w:t>главой 4</w:t>
      </w:r>
      <w:r>
        <w:rPr>
          <w:rStyle w:val="S0"/>
          <w:color w:val="auto"/>
          <w:sz w:val="24"/>
          <w:szCs w:val="24"/>
          <w:u w:val="none"/>
        </w:rPr>
        <w:t xml:space="preserve"> настоя</w:t>
      </w:r>
      <w:r>
        <w:rPr>
          <w:rStyle w:val="S0"/>
          <w:sz w:val="24"/>
          <w:szCs w:val="24"/>
          <w:u w:val="none"/>
        </w:rPr>
        <w:t>щи</w:t>
      </w:r>
      <w:r>
        <w:rPr>
          <w:rStyle w:val="S0"/>
          <w:sz w:val="24"/>
          <w:szCs w:val="24"/>
        </w:rPr>
        <w:t>х Правил.</w:t>
      </w:r>
    </w:p>
    <w:p>
      <w:pPr>
        <w:pStyle w:val="Normal"/>
        <w:rPr/>
      </w:pPr>
      <w:r>
        <w:rPr>
          <w:rStyle w:val="S0"/>
          <w:sz w:val="24"/>
          <w:szCs w:val="24"/>
        </w:rPr>
        <w:t>20) сведения о квалификации согласно форме утвержденной уполномоченным органом в области здравоохранения;</w:t>
      </w:r>
    </w:p>
    <w:p>
      <w:pPr>
        <w:pStyle w:val="Normal"/>
        <w:rPr/>
      </w:pPr>
      <w:r>
        <w:rPr>
          <w:rStyle w:val="S0"/>
          <w:sz w:val="24"/>
          <w:szCs w:val="24"/>
        </w:rPr>
        <w:t>21) требования к товарам установленные главой 4 настоящих Правил.</w:t>
      </w:r>
    </w:p>
    <w:p>
      <w:pPr>
        <w:pStyle w:val="Normal"/>
        <w:rPr/>
      </w:pPr>
      <w:r>
        <w:rPr>
          <w:rStyle w:val="S0"/>
          <w:b w:val="false"/>
          <w:bCs w:val="false"/>
          <w:sz w:val="24"/>
          <w:szCs w:val="24"/>
        </w:rPr>
        <w:t xml:space="preserve">1.3. Перечень документов, </w:t>
      </w:r>
      <w:r>
        <w:rPr>
          <w:b w:val="false"/>
          <w:bCs w:val="false"/>
          <w:color w:val="000000"/>
          <w:sz w:val="24"/>
          <w:szCs w:val="24"/>
        </w:rPr>
        <w:t>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pPr>
        <w:pStyle w:val="Normal"/>
        <w:rPr/>
      </w:pPr>
      <w:r>
        <w:rPr>
          <w:rStyle w:val="S0"/>
          <w:sz w:val="24"/>
          <w:szCs w:val="24"/>
        </w:rPr>
        <w:t xml:space="preserve">1.3.1.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w:t>
      </w:r>
      <w:r>
        <w:fldChar w:fldCharType="begin"/>
      </w:r>
      <w:r>
        <w:rPr>
          <w:rStyle w:val="S0"/>
          <w:sz w:val="24"/>
          <w:szCs w:val="24"/>
        </w:rPr>
        <w:instrText> HYPERLINK "http://adilet.zan.kz/rus/docs/Z1400000202" \l "z1"</w:instrText>
      </w:r>
      <w:r>
        <w:rPr>
          <w:rStyle w:val="S0"/>
          <w:sz w:val="24"/>
          <w:szCs w:val="24"/>
        </w:rPr>
        <w:fldChar w:fldCharType="separate"/>
      </w:r>
      <w:r>
        <w:rPr>
          <w:rStyle w:val="S0"/>
          <w:sz w:val="24"/>
          <w:szCs w:val="24"/>
        </w:rPr>
        <w:t>Законом</w:t>
      </w:r>
      <w:r>
        <w:rPr>
          <w:rStyle w:val="S0"/>
          <w:sz w:val="24"/>
          <w:szCs w:val="24"/>
        </w:rPr>
        <w:fldChar w:fldCharType="end"/>
      </w:r>
      <w:r>
        <w:rPr>
          <w:rStyle w:val="S0"/>
          <w:sz w:val="24"/>
          <w:szCs w:val="24"/>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 в подпунктах 19), 20) пункта 64 настоящих Правил.</w:t>
      </w:r>
    </w:p>
    <w:p>
      <w:pPr>
        <w:pStyle w:val="Normal"/>
        <w:rPr/>
      </w:pPr>
      <w:r>
        <w:rPr>
          <w:rStyle w:val="S0"/>
          <w:rFonts w:eastAsia="Times New Roman"/>
          <w:sz w:val="24"/>
          <w:szCs w:val="24"/>
          <w:lang w:val="ru-RU" w:eastAsia="zh-CN" w:bidi="ar-SA"/>
        </w:rPr>
        <w:t>1.3.2. Основная часть тендерной заявки содержит:</w:t>
      </w:r>
    </w:p>
    <w:p>
      <w:pPr>
        <w:pStyle w:val="Normal"/>
        <w:rPr/>
      </w:pPr>
      <w:r>
        <w:rPr>
          <w:rStyle w:val="S0"/>
          <w:sz w:val="24"/>
          <w:szCs w:val="24"/>
        </w:rPr>
        <w:t xml:space="preserve">1) заявку на участие в тендере по форме, согласно </w:t>
      </w:r>
      <w:r>
        <w:rPr>
          <w:rStyle w:val="S0"/>
          <w:i w:val="false"/>
          <w:iCs w:val="false"/>
          <w:sz w:val="24"/>
          <w:szCs w:val="24"/>
          <w:highlight w:val="yellow"/>
        </w:rPr>
        <w:t>приложению 3</w:t>
      </w:r>
      <w:r>
        <w:rPr>
          <w:rStyle w:val="S0"/>
          <w:sz w:val="24"/>
          <w:szCs w:val="24"/>
        </w:rPr>
        <w:t xml:space="preserve"> к тендерной документации. На электронном носителе представляется опись прилагаемых к заявке документов по форме, согласно </w:t>
      </w:r>
      <w:r>
        <w:rPr>
          <w:rStyle w:val="S0"/>
          <w:i w:val="false"/>
          <w:iCs w:val="false"/>
          <w:sz w:val="24"/>
          <w:szCs w:val="24"/>
          <w:highlight w:val="yellow"/>
        </w:rPr>
        <w:t>приложению 4</w:t>
      </w:r>
      <w:r>
        <w:rPr>
          <w:rStyle w:val="S0"/>
          <w:sz w:val="24"/>
          <w:szCs w:val="24"/>
        </w:rPr>
        <w:t xml:space="preserve"> к тендерной документации. </w:t>
      </w:r>
    </w:p>
    <w:p>
      <w:pPr>
        <w:pStyle w:val="Normal"/>
        <w:rPr/>
      </w:pPr>
      <w:r>
        <w:rPr>
          <w:rStyle w:val="S0"/>
          <w:sz w:val="24"/>
          <w:szCs w:val="24"/>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pPr>
        <w:pStyle w:val="Normal"/>
        <w:rPr/>
      </w:pPr>
      <w:r>
        <w:rPr>
          <w:rStyle w:val="S0"/>
          <w:sz w:val="24"/>
          <w:szCs w:val="24"/>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Normal"/>
        <w:rPr/>
      </w:pPr>
      <w:r>
        <w:rPr>
          <w:rStyle w:val="S0"/>
          <w:sz w:val="24"/>
          <w:szCs w:val="24"/>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pPr>
        <w:pStyle w:val="Normal"/>
        <w:rPr/>
      </w:pPr>
      <w:r>
        <w:rPr>
          <w:rStyle w:val="S0"/>
          <w:sz w:val="24"/>
          <w:szCs w:val="24"/>
        </w:rPr>
        <w:t xml:space="preserve">5) </w:t>
      </w:r>
      <w:r>
        <w:rPr>
          <w:color w:val="000000"/>
          <w:sz w:val="24"/>
          <w:szCs w:val="24"/>
        </w:rPr>
        <w:t>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pPr>
        <w:pStyle w:val="Normal"/>
        <w:rPr/>
      </w:pPr>
      <w:r>
        <w:rPr>
          <w:rStyle w:val="S0"/>
          <w:sz w:val="24"/>
          <w:szCs w:val="24"/>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pPr>
        <w:pStyle w:val="Normal"/>
        <w:rPr/>
      </w:pPr>
      <w:r>
        <w:rPr>
          <w:rStyle w:val="S0"/>
          <w:sz w:val="24"/>
          <w:szCs w:val="24"/>
        </w:rPr>
        <w:t xml:space="preserve">7) </w:t>
      </w:r>
      <w:r>
        <w:rPr>
          <w:color w:val="000000"/>
          <w:sz w:val="24"/>
          <w:szCs w:val="24"/>
        </w:rPr>
        <w:t xml:space="preserve">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под № 6793), по форме согласно </w:t>
      </w:r>
      <w:r>
        <w:rPr>
          <w:color w:val="000000"/>
          <w:sz w:val="24"/>
          <w:szCs w:val="24"/>
          <w:highlight w:val="yellow"/>
        </w:rPr>
        <w:t>приложению 5</w:t>
      </w:r>
      <w:r>
        <w:rPr>
          <w:color w:val="000000"/>
          <w:sz w:val="24"/>
          <w:szCs w:val="24"/>
        </w:rPr>
        <w:t>,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pPr>
        <w:pStyle w:val="Normal"/>
        <w:rPr/>
      </w:pPr>
      <w:r>
        <w:rPr>
          <w:rStyle w:val="S0"/>
          <w:sz w:val="24"/>
          <w:szCs w:val="24"/>
        </w:rPr>
        <w:t>8) сведения о квалификации по форме, согласно</w:t>
      </w:r>
      <w:r>
        <w:rPr>
          <w:rStyle w:val="S0"/>
          <w:i/>
          <w:sz w:val="24"/>
          <w:szCs w:val="24"/>
        </w:rPr>
        <w:t xml:space="preserve"> </w:t>
      </w:r>
      <w:r>
        <w:rPr>
          <w:rStyle w:val="S0"/>
          <w:rFonts w:eastAsia="Times New Roman" w:cs="Times New Roman"/>
          <w:i w:val="false"/>
          <w:iCs w:val="false"/>
          <w:color w:val="000000"/>
          <w:sz w:val="24"/>
          <w:szCs w:val="24"/>
          <w:highlight w:val="yellow"/>
          <w:lang w:val="ru-RU" w:eastAsia="zh-CN" w:bidi="ar-SA"/>
        </w:rPr>
        <w:t>приложению 6</w:t>
      </w:r>
      <w:r>
        <w:rPr>
          <w:rStyle w:val="S0"/>
          <w:sz w:val="24"/>
          <w:szCs w:val="24"/>
        </w:rPr>
        <w:t xml:space="preserve"> к тендерной документации. </w:t>
      </w:r>
    </w:p>
    <w:p>
      <w:pPr>
        <w:pStyle w:val="Normal"/>
        <w:rPr/>
      </w:pPr>
      <w:r>
        <w:rPr>
          <w:rStyle w:val="S0"/>
          <w:sz w:val="24"/>
          <w:szCs w:val="24"/>
        </w:rPr>
        <w:t xml:space="preserve">9) </w:t>
      </w:r>
      <w:r>
        <w:rPr>
          <w:color w:val="000000"/>
          <w:sz w:val="24"/>
          <w:szCs w:val="24"/>
        </w:rPr>
        <w:t>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(для отечественных товаропроизводителей);</w:t>
      </w:r>
    </w:p>
    <w:p>
      <w:pPr>
        <w:pStyle w:val="Normal"/>
        <w:rPr>
          <w:rFonts w:ascii="Times New Roman" w:hAnsi="Times New Roman"/>
          <w:sz w:val="24"/>
          <w:szCs w:val="24"/>
        </w:rPr>
      </w:pPr>
      <w:r>
        <w:rPr>
          <w:sz w:val="24"/>
          <w:szCs w:val="24"/>
        </w:rPr>
        <w:t>копию сертификата о соответствии объекта требованиям надлежащей дистрибьюторской практики (GDP) при закупе лекарственных средств, изделий медицинского назначения и фармацевтических услуг для получения преимущества на заключение договора закупа или договора поставки;</w:t>
      </w:r>
      <w:bookmarkStart w:id="1" w:name="z2941"/>
      <w:bookmarkStart w:id="2" w:name="z295"/>
      <w:bookmarkEnd w:id="1"/>
      <w:bookmarkEnd w:id="2"/>
    </w:p>
    <w:p>
      <w:pPr>
        <w:pStyle w:val="Normal"/>
        <w:rPr/>
      </w:pPr>
      <w:r>
        <w:rPr>
          <w:rStyle w:val="S0"/>
          <w:sz w:val="24"/>
          <w:szCs w:val="24"/>
        </w:rPr>
        <w:t>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pPr>
        <w:pStyle w:val="Normal"/>
        <w:rPr/>
      </w:pPr>
      <w:r>
        <w:rPr>
          <w:rStyle w:val="S0"/>
          <w:sz w:val="24"/>
          <w:szCs w:val="24"/>
        </w:rPr>
        <w:t xml:space="preserve">11) заявленную потенциальным поставщиком таблицу цен по формам, </w:t>
      </w:r>
      <w:r>
        <w:rPr>
          <w:rStyle w:val="S0"/>
          <w:rFonts w:eastAsia="Times New Roman"/>
          <w:sz w:val="24"/>
          <w:szCs w:val="24"/>
          <w:highlight w:val="yellow"/>
          <w:lang w:val="ru-RU" w:eastAsia="zh-CN" w:bidi="ar-SA"/>
        </w:rPr>
        <w:t>приложения 7</w:t>
      </w:r>
      <w:r>
        <w:rPr>
          <w:rStyle w:val="S0"/>
          <w:i/>
          <w:sz w:val="24"/>
          <w:szCs w:val="24"/>
        </w:rPr>
        <w:t xml:space="preserve"> </w:t>
      </w:r>
      <w:r>
        <w:rPr>
          <w:rStyle w:val="S0"/>
          <w:sz w:val="24"/>
          <w:szCs w:val="24"/>
        </w:rPr>
        <w:t>к тендерной документации, включающую фактические затраты потенциального 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p>
    <w:p>
      <w:pPr>
        <w:pStyle w:val="Normal"/>
        <w:rPr/>
      </w:pPr>
      <w:r>
        <w:rPr>
          <w:rStyle w:val="S0"/>
          <w:sz w:val="24"/>
          <w:szCs w:val="24"/>
        </w:rPr>
        <w:t>12) сопутствующие услуги;</w:t>
      </w:r>
    </w:p>
    <w:p>
      <w:pPr>
        <w:pStyle w:val="Normal"/>
        <w:rPr/>
      </w:pPr>
      <w:r>
        <w:rPr>
          <w:rStyle w:val="S0"/>
          <w:sz w:val="24"/>
          <w:szCs w:val="24"/>
        </w:rPr>
        <w:t xml:space="preserve">13) оригинал документа, подтверждающего внесение гарантийного обеспечения тендерной заявки согласно </w:t>
      </w:r>
      <w:r>
        <w:rPr>
          <w:rStyle w:val="S0"/>
          <w:sz w:val="24"/>
          <w:szCs w:val="24"/>
          <w:highlight w:val="yellow"/>
        </w:rPr>
        <w:t>приложения 8</w:t>
      </w:r>
      <w:r>
        <w:rPr>
          <w:rStyle w:val="S0"/>
          <w:sz w:val="24"/>
          <w:szCs w:val="24"/>
        </w:rPr>
        <w:t>;</w:t>
      </w:r>
    </w:p>
    <w:p>
      <w:pPr>
        <w:pStyle w:val="Normal"/>
        <w:rPr/>
      </w:pPr>
      <w:r>
        <w:rPr>
          <w:rStyle w:val="S0"/>
          <w:sz w:val="24"/>
          <w:szCs w:val="24"/>
        </w:rPr>
        <w:t>14) при необходимости копию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r>
        <w:rPr>
          <w:color w:val="000000"/>
          <w:sz w:val="24"/>
          <w:szCs w:val="24"/>
        </w:rPr>
        <w:t>;</w:t>
      </w:r>
    </w:p>
    <w:p>
      <w:pPr>
        <w:pStyle w:val="Normal"/>
        <w:rPr/>
      </w:pPr>
      <w:r>
        <w:rPr>
          <w:rStyle w:val="S0"/>
          <w:sz w:val="24"/>
          <w:szCs w:val="24"/>
        </w:rPr>
        <w:t>15) документы, подтверждающие соответствие потенциального поставщика квалификационным требованиям, установленным пунктом 13 настоящих Правил</w:t>
      </w:r>
      <w:r>
        <w:rPr>
          <w:color w:val="000000"/>
          <w:sz w:val="24"/>
          <w:szCs w:val="24"/>
        </w:rPr>
        <w:t>;</w:t>
      </w:r>
    </w:p>
    <w:p>
      <w:pPr>
        <w:pStyle w:val="Normal"/>
        <w:rPr>
          <w:rFonts w:ascii="Times New Roman" w:hAnsi="Times New Roman"/>
          <w:sz w:val="24"/>
          <w:szCs w:val="24"/>
        </w:rPr>
      </w:pPr>
      <w:r>
        <w:rPr>
          <w:sz w:val="24"/>
          <w:szCs w:val="24"/>
        </w:rPr>
        <w:t>16) письмо об отсутствии аффилированности в соответствии с пунктом 9 настоящих Правил;</w:t>
      </w:r>
      <w:bookmarkStart w:id="3" w:name="z304"/>
    </w:p>
    <w:p>
      <w:pPr>
        <w:pStyle w:val="Normal"/>
        <w:rPr>
          <w:rFonts w:ascii="Times New Roman" w:hAnsi="Times New Roman"/>
          <w:sz w:val="24"/>
          <w:szCs w:val="24"/>
        </w:rPr>
      </w:pPr>
      <w:r>
        <w:rPr>
          <w:sz w:val="24"/>
          <w:szCs w:val="24"/>
        </w:rPr>
        <w:t>17)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bookmarkStart w:id="4" w:name="z307"/>
      <w:bookmarkEnd w:id="3"/>
    </w:p>
    <w:p>
      <w:pPr>
        <w:pStyle w:val="Normal"/>
        <w:rPr>
          <w:rFonts w:ascii="Times New Roman" w:hAnsi="Times New Roman"/>
          <w:sz w:val="24"/>
          <w:szCs w:val="24"/>
        </w:rPr>
      </w:pPr>
      <w:r>
        <w:rPr>
          <w:sz w:val="24"/>
          <w:szCs w:val="24"/>
        </w:rPr>
        <w:t>18)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изделий медицинского назначения.</w:t>
      </w:r>
    </w:p>
    <w:p>
      <w:pPr>
        <w:pStyle w:val="Normal"/>
        <w:rPr/>
      </w:pPr>
      <w:bookmarkEnd w:id="4"/>
      <w:r>
        <w:rPr>
          <w:rStyle w:val="S0"/>
          <w:rFonts w:eastAsia="Times New Roman"/>
          <w:sz w:val="24"/>
          <w:szCs w:val="24"/>
          <w:lang w:val="ru-RU" w:eastAsia="zh-CN" w:bidi="ar-SA"/>
        </w:rPr>
        <w:t>1.3.3. Техническая часть тендерной заявки содержит:</w:t>
      </w:r>
    </w:p>
    <w:p>
      <w:pPr>
        <w:pStyle w:val="Normal"/>
        <w:rPr/>
      </w:pPr>
      <w:r>
        <w:rPr>
          <w:rStyle w:val="S0"/>
          <w:sz w:val="24"/>
          <w:szCs w:val="24"/>
        </w:rPr>
        <w:t>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*doc);</w:t>
      </w:r>
    </w:p>
    <w:p>
      <w:pPr>
        <w:pStyle w:val="Normal"/>
        <w:rPr/>
      </w:pPr>
      <w:r>
        <w:rPr>
          <w:rStyle w:val="S0"/>
          <w:sz w:val="24"/>
          <w:szCs w:val="24"/>
        </w:rPr>
        <w:t>2) документы, подтверждающие соответствие предлагаемых товаров и фармацевтических услуг требованиям настоящих Правил и тендерной документации.</w:t>
      </w:r>
    </w:p>
    <w:p>
      <w:pPr>
        <w:pStyle w:val="Normal"/>
        <w:rPr/>
      </w:pPr>
      <w:bookmarkStart w:id="5" w:name="SUB6400"/>
      <w:bookmarkStart w:id="6" w:name="SUB6500"/>
      <w:bookmarkEnd w:id="5"/>
      <w:bookmarkEnd w:id="6"/>
      <w:r>
        <w:rPr>
          <w:rStyle w:val="S0"/>
          <w:sz w:val="24"/>
          <w:szCs w:val="24"/>
        </w:rPr>
        <w:t xml:space="preserve">1.3.4. Гарантийное обеспечение тендерной заявки. </w:t>
      </w:r>
    </w:p>
    <w:p>
      <w:pPr>
        <w:pStyle w:val="Heading3"/>
        <w:numPr>
          <w:ilvl w:val="2"/>
          <w:numId w:val="2"/>
        </w:numPr>
        <w:rPr/>
      </w:pPr>
      <w:r>
        <w:rPr>
          <w:rStyle w:val="S0"/>
          <w:rFonts w:eastAsia="Times New Roman" w:ascii="Times New Roman" w:hAnsi="Times New Roman"/>
          <w:b/>
          <w:bCs/>
          <w:sz w:val="24"/>
          <w:szCs w:val="24"/>
          <w:lang w:val="ru-RU" w:eastAsia="zh-CN" w:bidi="ar-SA"/>
        </w:rPr>
        <w:t xml:space="preserve">2. Технические и качественные характеристики закупаемых товаров, включая технические спецификации </w:t>
      </w:r>
    </w:p>
    <w:p>
      <w:pPr>
        <w:pStyle w:val="Style21"/>
        <w:widowControl/>
        <w:suppressAutoHyphens w:val="true"/>
        <w:bidi w:val="0"/>
        <w:spacing w:before="0" w:after="0"/>
        <w:ind w:left="0" w:right="0" w:firstLine="737"/>
        <w:jc w:val="both"/>
        <w:rPr/>
      </w:pPr>
      <w:r>
        <w:rPr>
          <w:rStyle w:val="S0"/>
          <w:sz w:val="24"/>
          <w:szCs w:val="24"/>
          <w:lang w:val="ru-RU"/>
        </w:rPr>
        <w:t>Т</w:t>
      </w:r>
      <w:r>
        <w:rPr>
          <w:rStyle w:val="S0"/>
          <w:sz w:val="24"/>
          <w:szCs w:val="24"/>
        </w:rPr>
        <w:t xml:space="preserve">ехнические и качественные характеристики закупаемых </w:t>
      </w:r>
      <w:r>
        <w:rPr>
          <w:rStyle w:val="S0"/>
          <w:sz w:val="24"/>
          <w:szCs w:val="24"/>
          <w:lang w:val="ru-RU"/>
        </w:rPr>
        <w:t>товаров</w:t>
      </w:r>
      <w:r>
        <w:rPr>
          <w:rStyle w:val="S0"/>
          <w:sz w:val="24"/>
          <w:szCs w:val="24"/>
        </w:rPr>
        <w:t>, включая технические спецификации</w:t>
      </w:r>
      <w:r>
        <w:rPr>
          <w:rStyle w:val="S0"/>
          <w:sz w:val="24"/>
          <w:szCs w:val="24"/>
          <w:lang w:val="ru-RU"/>
        </w:rPr>
        <w:t xml:space="preserve"> указаны в </w:t>
      </w:r>
      <w:r>
        <w:rPr>
          <w:rStyle w:val="S0"/>
          <w:sz w:val="24"/>
          <w:szCs w:val="24"/>
          <w:highlight w:val="yellow"/>
          <w:lang w:val="ru-RU"/>
        </w:rPr>
        <w:t>приложении 1</w:t>
      </w:r>
      <w:r>
        <w:rPr>
          <w:rStyle w:val="S0"/>
          <w:sz w:val="24"/>
          <w:szCs w:val="24"/>
          <w:lang w:val="ru-RU"/>
        </w:rPr>
        <w:t xml:space="preserve"> к настоящей тендерной документации.</w:t>
      </w:r>
    </w:p>
    <w:p>
      <w:pPr>
        <w:pStyle w:val="Heading3"/>
        <w:numPr>
          <w:ilvl w:val="2"/>
          <w:numId w:val="2"/>
        </w:numPr>
        <w:rPr/>
      </w:pPr>
      <w:r>
        <w:rPr>
          <w:rStyle w:val="S0"/>
          <w:rFonts w:eastAsia="Times New Roman" w:ascii="Times New Roman" w:hAnsi="Times New Roman"/>
          <w:b/>
          <w:bCs/>
          <w:sz w:val="24"/>
          <w:szCs w:val="24"/>
          <w:lang w:val="ru-RU" w:eastAsia="zh-CN" w:bidi="ar-SA"/>
        </w:rPr>
        <w:t xml:space="preserve">3. Объем закупаемых товаров, суммы выделенные для их закупа </w:t>
      </w:r>
    </w:p>
    <w:p>
      <w:pPr>
        <w:pStyle w:val="Normal"/>
        <w:rPr/>
      </w:pPr>
      <w:r>
        <w:rPr>
          <w:rStyle w:val="S0"/>
          <w:sz w:val="24"/>
          <w:szCs w:val="24"/>
        </w:rPr>
        <w:t xml:space="preserve">Объем закупаемых товаров, суммы выделенные для их закупа указаны в </w:t>
      </w:r>
      <w:r>
        <w:rPr>
          <w:rStyle w:val="S0"/>
          <w:sz w:val="24"/>
          <w:szCs w:val="24"/>
          <w:highlight w:val="yellow"/>
        </w:rPr>
        <w:t xml:space="preserve">приложении 2 </w:t>
      </w:r>
      <w:r>
        <w:rPr>
          <w:rStyle w:val="S0"/>
          <w:sz w:val="24"/>
          <w:szCs w:val="24"/>
        </w:rPr>
        <w:t xml:space="preserve"> к настоящей тендерной документации</w:t>
      </w:r>
    </w:p>
    <w:p>
      <w:pPr>
        <w:pStyle w:val="Heading3"/>
        <w:numPr>
          <w:ilvl w:val="2"/>
          <w:numId w:val="2"/>
        </w:numPr>
        <w:rPr/>
      </w:pPr>
      <w:r>
        <w:rPr>
          <w:rStyle w:val="S0"/>
          <w:rFonts w:eastAsia="Times New Roman" w:ascii="Times New Roman" w:hAnsi="Times New Roman"/>
          <w:b/>
          <w:bCs/>
          <w:sz w:val="24"/>
          <w:szCs w:val="24"/>
          <w:lang w:val="ru-RU" w:eastAsia="zh-CN" w:bidi="ar-SA"/>
        </w:rPr>
        <w:t>4. Место, сроки и другие условия поставки товара</w:t>
      </w:r>
    </w:p>
    <w:p>
      <w:pPr>
        <w:pStyle w:val="Normal"/>
        <w:rPr/>
      </w:pPr>
      <w:r>
        <w:rPr>
          <w:rStyle w:val="S0"/>
          <w:sz w:val="24"/>
          <w:szCs w:val="24"/>
          <w:lang w:val="ru-RU"/>
        </w:rPr>
        <w:tab/>
        <w:t>Место, с</w:t>
      </w:r>
      <w:r>
        <w:rPr>
          <w:rStyle w:val="S0"/>
          <w:sz w:val="24"/>
          <w:szCs w:val="24"/>
        </w:rPr>
        <w:t xml:space="preserve">роки и другие </w:t>
      </w:r>
      <w:r>
        <w:rPr>
          <w:rStyle w:val="S0"/>
          <w:sz w:val="24"/>
          <w:szCs w:val="24"/>
          <w:lang w:val="ru-RU"/>
        </w:rPr>
        <w:t xml:space="preserve">условия поставки согласно </w:t>
      </w:r>
      <w:r>
        <w:rPr>
          <w:rStyle w:val="S0"/>
          <w:i w:val="false"/>
          <w:iCs w:val="false"/>
          <w:sz w:val="24"/>
          <w:szCs w:val="24"/>
          <w:highlight w:val="yellow"/>
          <w:lang w:val="ru-RU"/>
        </w:rPr>
        <w:t>приложению 2</w:t>
      </w:r>
      <w:r>
        <w:rPr>
          <w:rStyle w:val="S0"/>
          <w:sz w:val="24"/>
          <w:szCs w:val="24"/>
          <w:lang w:val="ru-RU"/>
        </w:rPr>
        <w:t xml:space="preserve"> к настоящей тендерной документации.</w:t>
      </w:r>
    </w:p>
    <w:p>
      <w:pPr>
        <w:pStyle w:val="Heading3"/>
        <w:numPr>
          <w:ilvl w:val="2"/>
          <w:numId w:val="2"/>
        </w:numPr>
        <w:rPr/>
      </w:pPr>
      <w:r>
        <w:rPr>
          <w:rStyle w:val="S0"/>
          <w:rFonts w:eastAsia="Times New Roman" w:cs="Times New Roman" w:ascii="Times New Roman" w:hAnsi="Times New Roman"/>
          <w:b/>
          <w:bCs/>
          <w:i w:val="false"/>
          <w:iCs w:val="false"/>
          <w:color w:val="000000"/>
          <w:sz w:val="24"/>
          <w:szCs w:val="24"/>
          <w:lang w:val="ru-RU" w:eastAsia="zh-CN" w:bidi="ar-SA"/>
        </w:rPr>
        <w:t>5. Условия платежей и проект договора на товары</w:t>
      </w:r>
    </w:p>
    <w:p>
      <w:pPr>
        <w:pStyle w:val="Normal"/>
        <w:rPr>
          <w:rFonts w:ascii="Times New Roman" w:hAnsi="Times New Roman"/>
          <w:sz w:val="24"/>
          <w:szCs w:val="24"/>
        </w:rPr>
      </w:pPr>
      <w:r>
        <w:rPr>
          <w:color w:val="000000"/>
          <w:sz w:val="24"/>
          <w:szCs w:val="24"/>
          <w:lang w:val="ru-RU"/>
        </w:rPr>
        <w:tab/>
        <w:t>5.1. Оплата по факту поставки</w:t>
      </w:r>
      <w:r>
        <w:rPr>
          <w:color w:val="000000"/>
          <w:sz w:val="24"/>
          <w:szCs w:val="24"/>
        </w:rPr>
        <w:t>, в пределах средств, предусмотренных планами финансирования бюджетных программ на соответствующий финансовый период</w:t>
      </w:r>
      <w:r>
        <w:rPr>
          <w:color w:val="000000"/>
          <w:sz w:val="24"/>
          <w:szCs w:val="24"/>
          <w:lang w:val="ru-RU"/>
        </w:rPr>
        <w:t xml:space="preserve">. </w:t>
      </w:r>
    </w:p>
    <w:p>
      <w:pPr>
        <w:pStyle w:val="Normal"/>
        <w:rPr/>
      </w:pPr>
      <w:r>
        <w:rPr>
          <w:rStyle w:val="S0"/>
          <w:sz w:val="24"/>
          <w:szCs w:val="24"/>
          <w:lang w:val="ru-RU"/>
        </w:rPr>
        <w:tab/>
        <w:t xml:space="preserve">5.2. Проект договора согласно </w:t>
      </w:r>
      <w:r>
        <w:rPr>
          <w:rStyle w:val="S0"/>
          <w:i w:val="false"/>
          <w:iCs w:val="false"/>
          <w:sz w:val="24"/>
          <w:szCs w:val="24"/>
          <w:highlight w:val="yellow"/>
          <w:lang w:val="ru-RU"/>
        </w:rPr>
        <w:t>приложению 9</w:t>
      </w:r>
      <w:r>
        <w:rPr>
          <w:rStyle w:val="S0"/>
          <w:sz w:val="24"/>
          <w:szCs w:val="24"/>
          <w:lang w:val="ru-RU"/>
        </w:rPr>
        <w:t xml:space="preserve"> к настоящей тендерной документации.</w:t>
      </w:r>
    </w:p>
    <w:p>
      <w:pPr>
        <w:pStyle w:val="Normal"/>
        <w:rPr/>
      </w:pPr>
      <w:r>
        <w:rPr>
          <w:rStyle w:val="S0"/>
          <w:sz w:val="24"/>
          <w:szCs w:val="24"/>
          <w:lang w:val="ru-RU"/>
        </w:rPr>
        <w:tab/>
        <w:t>5.3. Цена тендерной заявки потенциального поставщика должна быть выражена в национальной валюте Республики Казахстан в тенге.</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ascii="Times New Roman" w:hAnsi="Times New Roman"/>
          <w:i w:val="false"/>
          <w:iCs w:val="false"/>
          <w:color w:val="000000"/>
          <w:sz w:val="24"/>
          <w:szCs w:val="24"/>
          <w:lang w:val="ru-RU" w:eastAsia="zh-CN" w:bidi="ar-SA"/>
        </w:rPr>
        <w:t>6. Требования к языкам тендерной заявки, договора закупа</w:t>
      </w:r>
    </w:p>
    <w:p>
      <w:pPr>
        <w:pStyle w:val="Normal"/>
        <w:rPr>
          <w:rFonts w:ascii="Times New Roman" w:hAnsi="Times New Roman"/>
          <w:sz w:val="24"/>
          <w:szCs w:val="24"/>
        </w:rPr>
      </w:pPr>
      <w:r>
        <w:rPr>
          <w:sz w:val="24"/>
          <w:szCs w:val="24"/>
          <w:lang w:val="ru-RU"/>
        </w:rPr>
        <w:t>6.1. З</w:t>
      </w:r>
      <w:r>
        <w:rPr>
          <w:sz w:val="24"/>
          <w:szCs w:val="24"/>
        </w:rPr>
        <w:t>аявка на участие в тендере, подготовленная потенциальным поставщиком, а также вся корреспонденция и документы, касательно заявки на участие в конкурсе составляются и</w:t>
      </w:r>
      <w:r>
        <w:rPr>
          <w:sz w:val="24"/>
          <w:szCs w:val="24"/>
          <w:lang w:val="ru-RU"/>
        </w:rPr>
        <w:t xml:space="preserve"> </w:t>
      </w:r>
      <w:r>
        <w:rPr>
          <w:sz w:val="24"/>
          <w:szCs w:val="24"/>
        </w:rPr>
        <w:t xml:space="preserve">представляются на языке, на котором составлена настоящая тендерная документация. </w:t>
      </w:r>
    </w:p>
    <w:p>
      <w:pPr>
        <w:pStyle w:val="Normal"/>
        <w:rPr>
          <w:rFonts w:ascii="Times New Roman" w:hAnsi="Times New Roman"/>
          <w:sz w:val="24"/>
          <w:szCs w:val="24"/>
        </w:rPr>
      </w:pPr>
      <w:r>
        <w:rPr>
          <w:sz w:val="24"/>
          <w:szCs w:val="24"/>
        </w:rPr>
        <w:tab/>
        <w:t>В случае их составления и представления потенциальным поставщиком на другом языке, к ним прилагается точный (нотариально заверенный) перевод.</w:t>
      </w:r>
    </w:p>
    <w:p>
      <w:pPr>
        <w:pStyle w:val="Heading3"/>
        <w:numPr>
          <w:ilvl w:val="2"/>
          <w:numId w:val="2"/>
        </w:numPr>
        <w:rPr/>
      </w:pPr>
      <w:r>
        <w:rPr>
          <w:rStyle w:val="S0"/>
          <w:rFonts w:eastAsia="Times New Roman" w:cs="Times New Roman" w:ascii="Times New Roman" w:hAnsi="Times New Roman"/>
          <w:b/>
          <w:bCs/>
          <w:i w:val="false"/>
          <w:iCs w:val="false"/>
          <w:color w:val="000000"/>
          <w:sz w:val="24"/>
          <w:szCs w:val="24"/>
          <w:lang w:val="ru-RU" w:eastAsia="zh-CN" w:bidi="ar-SA"/>
        </w:rPr>
        <w:t>7. Требования к оформлению тендерной заявки</w:t>
      </w:r>
    </w:p>
    <w:p>
      <w:pPr>
        <w:pStyle w:val="Normal"/>
        <w:rPr/>
      </w:pPr>
      <w:r>
        <w:rPr>
          <w:rStyle w:val="S0"/>
          <w:sz w:val="24"/>
          <w:szCs w:val="24"/>
        </w:rPr>
        <w:t xml:space="preserve">1. </w:t>
      </w:r>
      <w:bookmarkStart w:id="7" w:name="SUB7200"/>
      <w:bookmarkEnd w:id="7"/>
      <w:r>
        <w:rPr>
          <w:color w:val="000000"/>
          <w:sz w:val="24"/>
          <w:szCs w:val="24"/>
        </w:rPr>
        <w:t>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p>
      <w:pPr>
        <w:pStyle w:val="Normal"/>
        <w:rPr/>
      </w:pPr>
      <w:r>
        <w:rPr>
          <w:rStyle w:val="S0"/>
          <w:sz w:val="24"/>
          <w:szCs w:val="24"/>
        </w:rPr>
        <w:t xml:space="preserve">2. </w:t>
      </w:r>
      <w:r>
        <w:rPr>
          <w:color w:val="000000"/>
          <w:sz w:val="24"/>
          <w:szCs w:val="24"/>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Normal"/>
        <w:rPr/>
      </w:pPr>
      <w:bookmarkStart w:id="8" w:name="SUB7300"/>
      <w:bookmarkEnd w:id="8"/>
      <w:r>
        <w:rPr>
          <w:rStyle w:val="S0"/>
          <w:sz w:val="24"/>
          <w:szCs w:val="24"/>
        </w:rPr>
        <w:t xml:space="preserve">3.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w:t>
      </w:r>
      <w:r>
        <w:rPr>
          <w:rStyle w:val="S0"/>
          <w:b/>
          <w:bCs/>
          <w:i w:val="false"/>
          <w:iCs w:val="false"/>
          <w:sz w:val="24"/>
          <w:szCs w:val="24"/>
          <w:highlight w:val="yellow"/>
        </w:rPr>
        <w:t>«Тендер №3 «</w:t>
      </w:r>
      <w:r>
        <w:rPr>
          <w:rStyle w:val="S0"/>
          <w:rFonts w:eastAsia="Times New Roman" w:cs="Times New Roman"/>
          <w:b/>
          <w:bCs/>
          <w:i w:val="false"/>
          <w:iCs w:val="false"/>
          <w:strike w:val="false"/>
          <w:dstrike w:val="false"/>
          <w:outline w:val="false"/>
          <w:shadow w:val="false"/>
          <w:color w:val="auto"/>
          <w:kern w:val="0"/>
          <w:sz w:val="24"/>
          <w:szCs w:val="24"/>
          <w:highlight w:val="yellow"/>
          <w:u w:val="none"/>
          <w:em w:val="none"/>
          <w:lang w:val="ru-RU" w:eastAsia="zh-CN" w:bidi="ar-SA"/>
        </w:rPr>
        <w:t>Аппарат для ингаляционной терапии</w:t>
      </w:r>
      <w:r>
        <w:rPr>
          <w:rStyle w:val="S0"/>
          <w:b/>
          <w:bCs/>
          <w:i w:val="false"/>
          <w:iCs w:val="false"/>
          <w:sz w:val="24"/>
          <w:szCs w:val="24"/>
          <w:highlight w:val="yellow"/>
        </w:rPr>
        <w:t>»</w:t>
      </w:r>
      <w:r>
        <w:rPr>
          <w:b/>
          <w:bCs/>
          <w:i w:val="false"/>
          <w:iCs w:val="false"/>
          <w:sz w:val="24"/>
          <w:szCs w:val="24"/>
          <w:highlight w:val="yellow"/>
        </w:rPr>
        <w:t xml:space="preserve"> для КГП на ПХВ «Бородулихинская центральная районная больница» УЗ ВКО 201</w:t>
      </w:r>
      <w:r>
        <w:rPr>
          <w:b/>
          <w:bCs/>
          <w:i w:val="false"/>
          <w:iCs w:val="false"/>
          <w:sz w:val="24"/>
          <w:szCs w:val="24"/>
          <w:highlight w:val="yellow"/>
          <w:lang w:val="kk-KZ"/>
        </w:rPr>
        <w:t>9</w:t>
      </w:r>
      <w:r>
        <w:rPr>
          <w:b/>
          <w:bCs/>
          <w:i w:val="false"/>
          <w:iCs w:val="false"/>
          <w:sz w:val="24"/>
          <w:szCs w:val="24"/>
          <w:highlight w:val="yellow"/>
        </w:rPr>
        <w:t xml:space="preserve"> год</w:t>
      </w:r>
      <w:r>
        <w:rPr>
          <w:rStyle w:val="S0"/>
          <w:b/>
          <w:bCs/>
          <w:sz w:val="24"/>
          <w:szCs w:val="24"/>
          <w:highlight w:val="yellow"/>
        </w:rPr>
        <w:t xml:space="preserve"> и «Не вскрывать до 1</w:t>
      </w:r>
      <w:r>
        <w:rPr>
          <w:rStyle w:val="S0"/>
          <w:b/>
          <w:bCs/>
          <w:sz w:val="24"/>
          <w:szCs w:val="24"/>
          <w:highlight w:val="yellow"/>
          <w:lang w:val="kk-KZ"/>
        </w:rPr>
        <w:t>3</w:t>
      </w:r>
      <w:r>
        <w:rPr>
          <w:rStyle w:val="S0"/>
          <w:b/>
          <w:bCs/>
          <w:sz w:val="24"/>
          <w:szCs w:val="24"/>
          <w:highlight w:val="yellow"/>
        </w:rPr>
        <w:t xml:space="preserve">-00 часов </w:t>
      </w:r>
      <w:r>
        <w:rPr>
          <w:rStyle w:val="S0"/>
          <w:b/>
          <w:bCs/>
          <w:sz w:val="24"/>
          <w:szCs w:val="24"/>
          <w:highlight w:val="yellow"/>
        </w:rPr>
        <w:t>12</w:t>
      </w:r>
      <w:r>
        <w:rPr>
          <w:rStyle w:val="S0"/>
          <w:b/>
          <w:bCs/>
          <w:sz w:val="24"/>
          <w:szCs w:val="24"/>
          <w:highlight w:val="yellow"/>
          <w:lang w:val="kk-KZ"/>
        </w:rPr>
        <w:t xml:space="preserve"> сентября</w:t>
      </w:r>
      <w:r>
        <w:rPr>
          <w:rStyle w:val="S0"/>
          <w:b/>
          <w:bCs/>
          <w:sz w:val="24"/>
          <w:szCs w:val="24"/>
          <w:highlight w:val="yellow"/>
        </w:rPr>
        <w:t xml:space="preserve"> 201</w:t>
      </w:r>
      <w:r>
        <w:rPr>
          <w:rStyle w:val="S0"/>
          <w:b/>
          <w:bCs/>
          <w:sz w:val="24"/>
          <w:szCs w:val="24"/>
          <w:highlight w:val="yellow"/>
          <w:lang w:val="kk-KZ"/>
        </w:rPr>
        <w:t>9</w:t>
      </w:r>
      <w:r>
        <w:rPr>
          <w:rStyle w:val="S0"/>
          <w:b/>
          <w:bCs/>
          <w:sz w:val="24"/>
          <w:szCs w:val="24"/>
          <w:highlight w:val="yellow"/>
        </w:rPr>
        <w:t xml:space="preserve"> года».</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ascii="Times New Roman" w:hAnsi="Times New Roman"/>
          <w:i w:val="false"/>
          <w:iCs w:val="false"/>
          <w:color w:val="000000"/>
          <w:sz w:val="24"/>
          <w:szCs w:val="24"/>
          <w:lang w:val="ru-RU" w:eastAsia="zh-CN" w:bidi="ar-SA"/>
        </w:rPr>
        <w:t>8. Порядок, форма и сроки внесения гарантийного обеспечения тендерной заявки</w:t>
      </w:r>
    </w:p>
    <w:p>
      <w:pPr>
        <w:pStyle w:val="Normal"/>
        <w:rPr/>
      </w:pPr>
      <w:r>
        <w:rPr>
          <w:rStyle w:val="S0"/>
          <w:sz w:val="24"/>
          <w:szCs w:val="24"/>
        </w:rPr>
        <w:t>8.1. 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p>
    <w:p>
      <w:pPr>
        <w:pStyle w:val="Normal"/>
        <w:rPr/>
      </w:pPr>
      <w:r>
        <w:rPr>
          <w:rStyle w:val="S0"/>
          <w:sz w:val="24"/>
          <w:szCs w:val="24"/>
        </w:rPr>
        <w:t>8.2. Гарантийное обеспечение тендерной заявки (далее - гарантийное обеспечение) представляется в виде:</w:t>
      </w:r>
    </w:p>
    <w:p>
      <w:pPr>
        <w:pStyle w:val="Normal"/>
        <w:rPr/>
      </w:pPr>
      <w:r>
        <w:rPr>
          <w:rStyle w:val="S0"/>
          <w:sz w:val="24"/>
          <w:szCs w:val="24"/>
        </w:rPr>
        <w:tab/>
        <w:t xml:space="preserve">1) гарантийного денежного взноса, который вносится на банковский счет заказчика/организатора закупа: </w:t>
      </w:r>
      <w:r>
        <w:rPr>
          <w:rStyle w:val="S0"/>
          <w:sz w:val="24"/>
          <w:szCs w:val="24"/>
          <w:highlight w:val="yellow"/>
        </w:rPr>
        <w:t xml:space="preserve">КГП на ПХВ </w:t>
      </w:r>
      <w:r>
        <w:rPr>
          <w:sz w:val="24"/>
          <w:szCs w:val="24"/>
          <w:highlight w:val="yellow"/>
        </w:rPr>
        <w:t xml:space="preserve">«Бородулихинская центральная районная больица» УЗ ВКО, Восточно-Казахстанская область, с.Бородулиха, ул. Ф.Середина, 66, БИН </w:t>
      </w:r>
      <w:r>
        <w:rPr>
          <w:sz w:val="24"/>
          <w:szCs w:val="24"/>
          <w:highlight w:val="yellow"/>
          <w:lang w:val="kk-KZ"/>
        </w:rPr>
        <w:t>080640019859</w:t>
      </w:r>
      <w:r>
        <w:rPr>
          <w:sz w:val="24"/>
          <w:szCs w:val="24"/>
          <w:highlight w:val="yellow"/>
        </w:rPr>
        <w:t xml:space="preserve">, БИК </w:t>
      </w:r>
      <w:r>
        <w:rPr>
          <w:sz w:val="24"/>
          <w:szCs w:val="24"/>
          <w:highlight w:val="yellow"/>
          <w:lang w:val="en-US"/>
        </w:rPr>
        <w:t>HSBKKZKX</w:t>
      </w:r>
      <w:r>
        <w:rPr>
          <w:sz w:val="24"/>
          <w:szCs w:val="24"/>
          <w:highlight w:val="yellow"/>
        </w:rPr>
        <w:t xml:space="preserve">, </w:t>
      </w:r>
      <w:r>
        <w:rPr>
          <w:sz w:val="24"/>
          <w:szCs w:val="24"/>
          <w:highlight w:val="yellow"/>
          <w:lang w:val="kk-KZ"/>
        </w:rPr>
        <w:t>АО «Народный Банк Казахстана</w:t>
      </w:r>
      <w:r>
        <w:rPr>
          <w:sz w:val="24"/>
          <w:szCs w:val="24"/>
          <w:highlight w:val="yellow"/>
        </w:rPr>
        <w:t xml:space="preserve">, КБе 16, ИИК </w:t>
      </w:r>
      <w:r>
        <w:rPr>
          <w:sz w:val="24"/>
          <w:szCs w:val="24"/>
          <w:highlight w:val="yellow"/>
          <w:lang w:val="en-US"/>
        </w:rPr>
        <w:t>KZ076010151000151721</w:t>
      </w:r>
      <w:r>
        <w:rPr>
          <w:sz w:val="24"/>
          <w:szCs w:val="24"/>
          <w:lang w:val="en-US"/>
        </w:rPr>
        <w:t>.</w:t>
      </w:r>
    </w:p>
    <w:p>
      <w:pPr>
        <w:pStyle w:val="Normal"/>
        <w:rPr/>
      </w:pPr>
      <w:r>
        <w:rPr>
          <w:rStyle w:val="S0"/>
          <w:sz w:val="24"/>
          <w:szCs w:val="24"/>
        </w:rPr>
        <w:t xml:space="preserve">2) банковской гарантии по форме, </w:t>
      </w:r>
      <w:r>
        <w:rPr>
          <w:rStyle w:val="S0"/>
          <w:sz w:val="24"/>
          <w:szCs w:val="24"/>
          <w:lang w:val="kk-KZ"/>
        </w:rPr>
        <w:t xml:space="preserve">согласно </w:t>
      </w:r>
      <w:r>
        <w:rPr>
          <w:rStyle w:val="S0"/>
          <w:sz w:val="24"/>
          <w:szCs w:val="24"/>
          <w:highlight w:val="yellow"/>
          <w:lang w:val="kk-KZ"/>
        </w:rPr>
        <w:t>приложению 10</w:t>
      </w:r>
      <w:r>
        <w:rPr>
          <w:rStyle w:val="S0"/>
          <w:sz w:val="24"/>
          <w:szCs w:val="24"/>
          <w:lang w:val="kk-KZ"/>
        </w:rPr>
        <w:t xml:space="preserve"> к тендерной документации. </w:t>
      </w:r>
    </w:p>
    <w:p>
      <w:pPr>
        <w:pStyle w:val="Normal"/>
        <w:rPr/>
      </w:pPr>
      <w:bookmarkStart w:id="9" w:name="SUB6600"/>
      <w:bookmarkEnd w:id="9"/>
      <w:r>
        <w:rPr>
          <w:rStyle w:val="S0"/>
          <w:sz w:val="24"/>
          <w:szCs w:val="24"/>
        </w:rPr>
        <w:t>8.3. Срок действия гарантийного обеспечения составляет не менее срока действия тендерной заявки.</w:t>
      </w:r>
    </w:p>
    <w:p>
      <w:pPr>
        <w:pStyle w:val="Normal"/>
        <w:rPr/>
      </w:pPr>
      <w:bookmarkStart w:id="10" w:name="SUB6700"/>
      <w:bookmarkEnd w:id="10"/>
      <w:r>
        <w:rPr>
          <w:rStyle w:val="S0"/>
          <w:sz w:val="24"/>
          <w:szCs w:val="24"/>
        </w:rPr>
        <w:t>8.4. Гарантийное обеспечение возвращается потенциальному поставщику в течение пяти рабочих дней в случаях:</w:t>
      </w:r>
    </w:p>
    <w:p>
      <w:pPr>
        <w:pStyle w:val="Normal"/>
        <w:rPr/>
      </w:pPr>
      <w:r>
        <w:rPr>
          <w:rStyle w:val="S0"/>
          <w:sz w:val="24"/>
          <w:szCs w:val="24"/>
        </w:rPr>
        <w:t>1) истечения срока действия тендерной заявки (за исключением тендерной заявки победителя тендера);</w:t>
      </w:r>
    </w:p>
    <w:p>
      <w:pPr>
        <w:pStyle w:val="Normal"/>
        <w:rPr/>
      </w:pPr>
      <w:r>
        <w:rPr>
          <w:rStyle w:val="S0"/>
          <w:sz w:val="24"/>
          <w:szCs w:val="24"/>
        </w:rPr>
        <w:t>2) отзыва тендерной заявки потенциальным поставщиком до истечения окончательного срока их приема;</w:t>
      </w:r>
    </w:p>
    <w:p>
      <w:pPr>
        <w:pStyle w:val="Normal"/>
        <w:rPr/>
      </w:pPr>
      <w:r>
        <w:rPr>
          <w:rStyle w:val="S0"/>
          <w:sz w:val="24"/>
          <w:szCs w:val="24"/>
        </w:rPr>
        <w:t>3) отклонения тендерной заявки по основанию несоответствия положениям тендерной документации;</w:t>
      </w:r>
    </w:p>
    <w:p>
      <w:pPr>
        <w:pStyle w:val="Normal"/>
        <w:rPr/>
      </w:pPr>
      <w:r>
        <w:rPr>
          <w:rStyle w:val="S0"/>
          <w:sz w:val="24"/>
          <w:szCs w:val="24"/>
        </w:rPr>
        <w:t>4) признания победителем тендера другого потенциального поставщика;</w:t>
      </w:r>
    </w:p>
    <w:p>
      <w:pPr>
        <w:pStyle w:val="Normal"/>
        <w:rPr/>
      </w:pPr>
      <w:r>
        <w:rPr>
          <w:rStyle w:val="S0"/>
          <w:sz w:val="24"/>
          <w:szCs w:val="24"/>
        </w:rPr>
        <w:t>5) прекращения процедур закупа без определения победителя тендера;</w:t>
      </w:r>
    </w:p>
    <w:p>
      <w:pPr>
        <w:pStyle w:val="Normal"/>
        <w:rPr/>
      </w:pPr>
      <w:r>
        <w:rPr>
          <w:rStyle w:val="S0"/>
          <w:sz w:val="24"/>
          <w:szCs w:val="24"/>
        </w:rPr>
        <w:t>6) вступления в силу договора закупа и внесения победителем тендера гарантийного обеспечения исполнения договора закупа.</w:t>
      </w:r>
    </w:p>
    <w:p>
      <w:pPr>
        <w:pStyle w:val="Normal"/>
        <w:rPr/>
      </w:pPr>
      <w:bookmarkStart w:id="11" w:name="SUB6800"/>
      <w:bookmarkEnd w:id="11"/>
      <w:r>
        <w:rPr>
          <w:rStyle w:val="S0"/>
          <w:sz w:val="24"/>
          <w:szCs w:val="24"/>
        </w:rPr>
        <w:t>8.5. Гарантийное обеспечение не возвращается потенциальному поставщику, если он:</w:t>
      </w:r>
    </w:p>
    <w:p>
      <w:pPr>
        <w:pStyle w:val="Normal"/>
        <w:rPr/>
      </w:pPr>
      <w:r>
        <w:rPr>
          <w:rStyle w:val="S0"/>
          <w:sz w:val="24"/>
          <w:szCs w:val="24"/>
        </w:rPr>
        <w:t>1) отозвал или изменил тендерную заявку после истечения окончательного срока приема тендерных заявок;</w:t>
      </w:r>
    </w:p>
    <w:p>
      <w:pPr>
        <w:pStyle w:val="Normal"/>
        <w:rPr/>
      </w:pPr>
      <w:r>
        <w:rPr>
          <w:rStyle w:val="S0"/>
          <w:sz w:val="24"/>
          <w:szCs w:val="24"/>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rPr/>
      </w:pPr>
      <w:r>
        <w:rPr>
          <w:rStyle w:val="S0"/>
          <w:sz w:val="24"/>
          <w:szCs w:val="24"/>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ascii="Times New Roman" w:hAnsi="Times New Roman"/>
          <w:i w:val="false"/>
          <w:iCs w:val="false"/>
          <w:color w:val="000000"/>
          <w:sz w:val="24"/>
          <w:szCs w:val="24"/>
          <w:lang w:val="ru-RU" w:eastAsia="zh-CN" w:bidi="ar-SA"/>
        </w:rPr>
        <w:t>9. Указание на возможность и порядок отзыва тендерной заявки</w:t>
      </w:r>
    </w:p>
    <w:p>
      <w:pPr>
        <w:pStyle w:val="Normal"/>
        <w:ind w:left="0" w:right="0" w:firstLine="400"/>
        <w:jc w:val="both"/>
        <w:rPr/>
      </w:pPr>
      <w:r>
        <w:rPr>
          <w:rStyle w:val="S0"/>
          <w:sz w:val="24"/>
          <w:szCs w:val="24"/>
        </w:rPr>
        <w:t>Потенциальный поставщик при необходимости отзывает заявку в письменной форме до истечения окончательного срока их приема.</w:t>
      </w:r>
    </w:p>
    <w:p>
      <w:pPr>
        <w:pStyle w:val="Heading3"/>
        <w:numPr>
          <w:ilvl w:val="2"/>
          <w:numId w:val="2"/>
        </w:numPr>
        <w:rPr/>
      </w:pPr>
      <w:r>
        <w:rPr>
          <w:rStyle w:val="S0"/>
          <w:rFonts w:eastAsia="Times New Roman" w:cs="Times New Roman" w:ascii="Times New Roman" w:hAnsi="Times New Roman"/>
          <w:b/>
          <w:bCs/>
          <w:i w:val="false"/>
          <w:iCs w:val="false"/>
          <w:color w:val="000000"/>
          <w:sz w:val="24"/>
          <w:szCs w:val="24"/>
          <w:lang w:val="ru-RU" w:eastAsia="zh-CN" w:bidi="ar-SA"/>
        </w:rPr>
        <w:t>10. Место и окончательный срок приема тендерных заявок и срок их действия</w:t>
      </w:r>
    </w:p>
    <w:p>
      <w:pPr>
        <w:pStyle w:val="Normal"/>
        <w:rPr/>
      </w:pPr>
      <w:r>
        <w:rPr>
          <w:rStyle w:val="S0"/>
          <w:sz w:val="24"/>
          <w:szCs w:val="24"/>
        </w:rPr>
        <w:t xml:space="preserve">10.1. Потенциальный поставщик, изъявивший желание участвовать в тендере, до истечения окончательного срока приема тендерных заявок представляет заказчику/организатору закупа в запечатанном виде тендерную заявку, составленную в соответствии с положениями тендерной документации в КГП на ПХВ «Бородулихинская центральная районная больница» УЗ ВКО, по адресу:  </w:t>
      </w:r>
      <w:r>
        <w:rPr>
          <w:rStyle w:val="S0"/>
          <w:rFonts w:eastAsia="Times New Roman"/>
          <w:sz w:val="24"/>
          <w:szCs w:val="24"/>
          <w:lang w:val="ru-RU" w:eastAsia="zh-CN" w:bidi="ar-SA"/>
        </w:rPr>
        <w:t xml:space="preserve">Восточно-Казахстанская область, с.Бородулиха, ул. Ф.Середина, 66, приемная главного врача, </w:t>
      </w:r>
      <w:r>
        <w:rPr>
          <w:rStyle w:val="S0"/>
          <w:rFonts w:eastAsia="Times New Roman"/>
          <w:sz w:val="24"/>
          <w:szCs w:val="24"/>
          <w:highlight w:val="yellow"/>
          <w:lang w:val="ru-RU" w:eastAsia="zh-CN" w:bidi="ar-SA"/>
        </w:rPr>
        <w:t xml:space="preserve">до 11 часов 00 минут </w:t>
      </w:r>
      <w:r>
        <w:rPr>
          <w:rStyle w:val="S0"/>
          <w:rFonts w:eastAsia="Times New Roman"/>
          <w:sz w:val="24"/>
          <w:szCs w:val="24"/>
          <w:highlight w:val="yellow"/>
          <w:lang w:val="ru-RU" w:eastAsia="zh-CN" w:bidi="ar-SA"/>
        </w:rPr>
        <w:t>12</w:t>
      </w:r>
      <w:r>
        <w:rPr>
          <w:rStyle w:val="S0"/>
          <w:rFonts w:eastAsia="Times New Roman"/>
          <w:sz w:val="24"/>
          <w:szCs w:val="24"/>
          <w:highlight w:val="yellow"/>
          <w:lang w:val="ru-RU" w:eastAsia="zh-CN" w:bidi="ar-SA"/>
        </w:rPr>
        <w:t xml:space="preserve"> сентября 2019 года.</w:t>
      </w:r>
    </w:p>
    <w:p>
      <w:pPr>
        <w:pStyle w:val="Normal"/>
        <w:rPr/>
      </w:pPr>
      <w:bookmarkStart w:id="12" w:name="SUB5900"/>
      <w:bookmarkEnd w:id="12"/>
      <w:r>
        <w:rPr>
          <w:rStyle w:val="S0"/>
          <w:sz w:val="24"/>
          <w:szCs w:val="24"/>
        </w:rPr>
        <w:t>10.2.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pPr>
        <w:pStyle w:val="Normal"/>
        <w:rPr/>
      </w:pPr>
      <w:bookmarkStart w:id="13" w:name="SUB6000"/>
      <w:bookmarkEnd w:id="13"/>
      <w:r>
        <w:rPr>
          <w:rStyle w:val="S0"/>
          <w:sz w:val="24"/>
          <w:szCs w:val="24"/>
        </w:rPr>
        <w:t xml:space="preserve">10.3. Срок действия тендерной заявки составляет не менее </w:t>
      </w:r>
      <w:r>
        <w:rPr>
          <w:rStyle w:val="S0"/>
          <w:sz w:val="24"/>
          <w:szCs w:val="24"/>
          <w:highlight w:val="yellow"/>
          <w:u w:val="single"/>
        </w:rPr>
        <w:t>сорока пяти календарных дней</w:t>
      </w:r>
      <w:r>
        <w:rPr>
          <w:rStyle w:val="S0"/>
          <w:sz w:val="24"/>
          <w:szCs w:val="24"/>
        </w:rPr>
        <w:t>, исчисляемых со дня окончательного приема тендерных заявок. Тендерная заявка, имеющая более короткий срок действия, подлежит отклонению.</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ascii="Times New Roman" w:hAnsi="Times New Roman"/>
          <w:i w:val="false"/>
          <w:iCs w:val="false"/>
          <w:color w:val="000000"/>
          <w:sz w:val="24"/>
          <w:szCs w:val="24"/>
          <w:lang w:val="ru-RU" w:eastAsia="zh-CN" w:bidi="ar-SA"/>
        </w:rPr>
        <w:t>11. Формы обращения потенциальных поставщиков за разъяснениями по содержанию тендерной документации</w:t>
      </w:r>
    </w:p>
    <w:p>
      <w:pPr>
        <w:pStyle w:val="Normal"/>
        <w:rPr/>
      </w:pPr>
      <w:r>
        <w:rPr>
          <w:rStyle w:val="S0"/>
          <w:sz w:val="24"/>
          <w:szCs w:val="24"/>
        </w:rPr>
        <w:t>11.1.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Normal"/>
        <w:rPr/>
      </w:pPr>
      <w:bookmarkStart w:id="14" w:name="SUB5600"/>
      <w:bookmarkEnd w:id="14"/>
      <w:r>
        <w:rPr>
          <w:rStyle w:val="S0"/>
          <w:sz w:val="24"/>
          <w:szCs w:val="24"/>
        </w:rPr>
        <w:t>11.2.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pPr>
        <w:pStyle w:val="Normal"/>
        <w:rPr/>
      </w:pPr>
      <w:bookmarkStart w:id="15" w:name="SUB5700"/>
      <w:bookmarkEnd w:id="15"/>
      <w:r>
        <w:rPr>
          <w:rStyle w:val="S0"/>
          <w:sz w:val="24"/>
          <w:szCs w:val="24"/>
        </w:rPr>
        <w:t>11.3.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b/>
          <w:b/>
          <w:bCs/>
          <w:color w:val="000000"/>
          <w:sz w:val="24"/>
          <w:szCs w:val="24"/>
          <w:lang w:val="ru-RU" w:eastAsia="zh-CN" w:bidi="ar-SA"/>
        </w:rPr>
      </w:pPr>
      <w:r>
        <w:rPr>
          <w:rFonts w:eastAsia="Times New Roman" w:cs="Times New Roman" w:ascii="Times New Roman" w:hAnsi="Times New Roman"/>
          <w:b/>
          <w:bCs/>
          <w:color w:val="000000"/>
          <w:sz w:val="24"/>
          <w:szCs w:val="24"/>
          <w:lang w:val="ru-RU" w:eastAsia="zh-CN" w:bidi="ar-SA"/>
        </w:rPr>
        <w:t>12. Место, дата, время и процедуру вскрытия конвертов с тендерными заявками</w:t>
      </w:r>
    </w:p>
    <w:p>
      <w:pPr>
        <w:pStyle w:val="Normal"/>
        <w:rPr/>
      </w:pPr>
      <w:r>
        <w:rPr>
          <w:rStyle w:val="S0"/>
          <w:sz w:val="24"/>
          <w:szCs w:val="24"/>
        </w:rPr>
        <w:t>12.1.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pPr>
        <w:pStyle w:val="Normal"/>
        <w:rPr/>
      </w:pPr>
      <w:bookmarkStart w:id="16" w:name="SUB7500"/>
      <w:bookmarkEnd w:id="16"/>
      <w:r>
        <w:rPr>
          <w:rStyle w:val="S0"/>
          <w:sz w:val="24"/>
          <w:szCs w:val="24"/>
        </w:rPr>
        <w:t>12.2. Конверты с тенд</w:t>
      </w:r>
      <w:r>
        <w:rPr>
          <w:rStyle w:val="S0"/>
          <w:rFonts w:eastAsia="Times New Roman"/>
          <w:sz w:val="24"/>
          <w:szCs w:val="24"/>
          <w:lang w:val="ru-RU" w:eastAsia="zh-CN" w:bidi="ar-SA"/>
        </w:rPr>
        <w:t xml:space="preserve">ерными заявками вскрываются тендерной комиссией </w:t>
      </w:r>
      <w:r>
        <w:rPr>
          <w:rStyle w:val="S0"/>
          <w:rFonts w:eastAsia="Times New Roman"/>
          <w:sz w:val="24"/>
          <w:szCs w:val="24"/>
          <w:highlight w:val="yellow"/>
          <w:lang w:val="ru-RU" w:eastAsia="zh-CN" w:bidi="ar-SA"/>
        </w:rPr>
        <w:t xml:space="preserve">в 13.00 часов </w:t>
      </w:r>
      <w:r>
        <w:rPr>
          <w:rStyle w:val="S0"/>
          <w:rFonts w:eastAsia="Times New Roman"/>
          <w:sz w:val="24"/>
          <w:szCs w:val="24"/>
          <w:highlight w:val="yellow"/>
          <w:lang w:val="ru-RU" w:eastAsia="zh-CN" w:bidi="ar-SA"/>
        </w:rPr>
        <w:t>12</w:t>
      </w:r>
      <w:r>
        <w:rPr>
          <w:rStyle w:val="S0"/>
          <w:rFonts w:eastAsia="Times New Roman"/>
          <w:sz w:val="24"/>
          <w:szCs w:val="24"/>
          <w:highlight w:val="yellow"/>
          <w:lang w:val="ru-RU" w:eastAsia="zh-CN" w:bidi="ar-SA"/>
        </w:rPr>
        <w:t xml:space="preserve"> сентября 2019 года</w:t>
      </w:r>
      <w:r>
        <w:rPr>
          <w:rStyle w:val="S0"/>
          <w:rFonts w:eastAsia="Times New Roman"/>
          <w:sz w:val="24"/>
          <w:szCs w:val="24"/>
          <w:lang w:val="ru-RU" w:eastAsia="zh-CN" w:bidi="ar-SA"/>
        </w:rPr>
        <w:t xml:space="preserve"> по адресу: Восточно-Казахстанская область, с.Бородулиха, ул. Ф.Середина, 66, Конференц-зал.</w:t>
      </w:r>
    </w:p>
    <w:p>
      <w:pPr>
        <w:pStyle w:val="Normal"/>
        <w:rPr/>
      </w:pPr>
      <w:bookmarkStart w:id="17" w:name="SUB7600"/>
      <w:bookmarkEnd w:id="17"/>
      <w:r>
        <w:rPr>
          <w:rStyle w:val="S0"/>
          <w:sz w:val="24"/>
          <w:szCs w:val="24"/>
        </w:rPr>
        <w:t>12.3.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Normal"/>
        <w:rPr/>
      </w:pPr>
      <w:bookmarkStart w:id="18" w:name="SUB7700"/>
      <w:bookmarkEnd w:id="18"/>
      <w:r>
        <w:rPr>
          <w:rStyle w:val="S0"/>
          <w:sz w:val="24"/>
          <w:szCs w:val="24"/>
        </w:rPr>
        <w:t>12.4.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Heading3"/>
        <w:keepNext w:val="true"/>
        <w:widowControl/>
        <w:numPr>
          <w:ilvl w:val="2"/>
          <w:numId w:val="2"/>
        </w:numPr>
        <w:suppressAutoHyphens w:val="true"/>
        <w:bidi w:val="0"/>
        <w:spacing w:before="240" w:after="60"/>
        <w:ind w:left="0" w:right="0" w:firstLine="567"/>
        <w:jc w:val="center"/>
        <w:rPr>
          <w:rFonts w:eastAsia="Times New Roman" w:cs="Times New Roman"/>
          <w:b/>
          <w:b/>
          <w:bCs/>
          <w:i w:val="false"/>
          <w:i w:val="false"/>
          <w:iCs w:val="false"/>
          <w:color w:val="auto"/>
          <w:sz w:val="24"/>
          <w:szCs w:val="24"/>
          <w:lang w:val="ru-RU" w:eastAsia="zh-CN" w:bidi="ar-SA"/>
        </w:rPr>
      </w:pPr>
      <w:r>
        <w:rPr>
          <w:rFonts w:eastAsia="Times New Roman" w:cs="Times New Roman" w:ascii="Times New Roman" w:hAnsi="Times New Roman"/>
          <w:b/>
          <w:bCs/>
          <w:i w:val="false"/>
          <w:iCs w:val="false"/>
          <w:color w:val="auto"/>
          <w:sz w:val="24"/>
          <w:szCs w:val="24"/>
          <w:lang w:val="ru-RU" w:eastAsia="zh-CN" w:bidi="ar-SA"/>
        </w:rPr>
        <w:t>13. Процедура рассмотрения тендерных заявок</w:t>
      </w:r>
    </w:p>
    <w:p>
      <w:pPr>
        <w:pStyle w:val="Normal"/>
        <w:ind w:left="0" w:right="0" w:firstLine="400"/>
        <w:jc w:val="both"/>
        <w:rPr/>
      </w:pPr>
      <w:r>
        <w:rPr>
          <w:rStyle w:val="S0"/>
          <w:sz w:val="24"/>
          <w:szCs w:val="24"/>
        </w:rPr>
        <w:t xml:space="preserve">13.1. Тендерная комиссия осуществляет оценку и сопоставление тендерных заявок. </w:t>
      </w:r>
    </w:p>
    <w:p>
      <w:pPr>
        <w:pStyle w:val="Normal"/>
        <w:ind w:left="0" w:right="0" w:firstLine="400"/>
        <w:jc w:val="both"/>
        <w:rPr/>
      </w:pPr>
      <w:r>
        <w:rPr>
          <w:rStyle w:val="S0"/>
          <w:sz w:val="24"/>
          <w:szCs w:val="24"/>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
    <w:p>
      <w:pPr>
        <w:pStyle w:val="Normal"/>
        <w:ind w:left="0" w:right="0" w:firstLine="400"/>
        <w:jc w:val="both"/>
        <w:rPr/>
      </w:pPr>
      <w:bookmarkStart w:id="19" w:name="SUB7900"/>
      <w:bookmarkEnd w:id="19"/>
      <w:r>
        <w:rPr>
          <w:rStyle w:val="S0"/>
          <w:sz w:val="24"/>
          <w:szCs w:val="24"/>
        </w:rPr>
        <w:t>13.2. Тендерная комиссия отклоняет тендерную заявку в целом или по лоту в случаях:</w:t>
      </w:r>
    </w:p>
    <w:p>
      <w:pPr>
        <w:pStyle w:val="Normal"/>
        <w:ind w:left="0" w:right="0" w:firstLine="426"/>
        <w:jc w:val="both"/>
        <w:rPr>
          <w:color w:val="000000"/>
        </w:rPr>
      </w:pPr>
      <w:r>
        <w:rPr>
          <w:color w:val="000000"/>
          <w:sz w:val="24"/>
          <w:szCs w:val="24"/>
        </w:rPr>
        <w:t>1) непредставления гарантийного обеспечения тендерной заявки в соответствии с требованиями настоящих Правил;</w:t>
      </w:r>
    </w:p>
    <w:p>
      <w:pPr>
        <w:pStyle w:val="Normal"/>
        <w:ind w:left="0" w:right="0" w:firstLine="426"/>
        <w:jc w:val="both"/>
        <w:rPr>
          <w:rFonts w:ascii="Times New Roman" w:hAnsi="Times New Roman"/>
          <w:sz w:val="24"/>
          <w:szCs w:val="24"/>
        </w:rPr>
      </w:pPr>
      <w:bookmarkStart w:id="20" w:name="z342"/>
      <w:bookmarkEnd w:id="20"/>
      <w:r>
        <w:rPr>
          <w:color w:val="000000"/>
          <w:sz w:val="24"/>
          <w:szCs w:val="24"/>
        </w:rPr>
        <w:t>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p>
      <w:pPr>
        <w:pStyle w:val="Normal"/>
        <w:ind w:left="0" w:right="0" w:firstLine="426"/>
        <w:jc w:val="both"/>
        <w:rPr>
          <w:rFonts w:ascii="Times New Roman" w:hAnsi="Times New Roman"/>
          <w:sz w:val="24"/>
          <w:szCs w:val="24"/>
        </w:rPr>
      </w:pPr>
      <w:bookmarkStart w:id="21" w:name="z3421"/>
      <w:bookmarkStart w:id="22" w:name="z343"/>
      <w:bookmarkEnd w:id="21"/>
      <w:bookmarkEnd w:id="22"/>
      <w:r>
        <w:rPr>
          <w:color w:val="000000"/>
          <w:sz w:val="24"/>
          <w:szCs w:val="24"/>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Normal"/>
        <w:ind w:left="0" w:right="0" w:firstLine="426"/>
        <w:jc w:val="both"/>
        <w:rPr>
          <w:rFonts w:ascii="Times New Roman" w:hAnsi="Times New Roman"/>
          <w:sz w:val="24"/>
          <w:szCs w:val="24"/>
        </w:rPr>
      </w:pPr>
      <w:bookmarkStart w:id="23" w:name="z3431"/>
      <w:bookmarkStart w:id="24" w:name="z344"/>
      <w:bookmarkEnd w:id="23"/>
      <w:bookmarkEnd w:id="24"/>
      <w:r>
        <w:rPr>
          <w:color w:val="000000"/>
          <w:sz w:val="24"/>
          <w:szCs w:val="24"/>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pPr>
        <w:pStyle w:val="Normal"/>
        <w:ind w:left="0" w:right="0" w:firstLine="426"/>
        <w:jc w:val="both"/>
        <w:rPr/>
      </w:pPr>
      <w:bookmarkStart w:id="25" w:name="z3441"/>
      <w:bookmarkStart w:id="26" w:name="z345"/>
      <w:bookmarkEnd w:id="25"/>
      <w:bookmarkEnd w:id="26"/>
      <w:r>
        <w:rPr>
          <w:color w:val="000000"/>
          <w:sz w:val="24"/>
          <w:szCs w:val="24"/>
        </w:rPr>
        <w:t xml:space="preserve">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w:t>
      </w:r>
      <w:r>
        <w:fldChar w:fldCharType="begin"/>
      </w:r>
      <w:r>
        <w:rPr>
          <w:rStyle w:val="Style18"/>
          <w:sz w:val="24"/>
          <w:szCs w:val="24"/>
        </w:rPr>
        <w:instrText> HYPERLINK "http://adilet.zan.kz/rus/docs/Z1400000202" \l "z1"</w:instrText>
      </w:r>
      <w:r>
        <w:rPr>
          <w:rStyle w:val="Style18"/>
          <w:sz w:val="24"/>
          <w:szCs w:val="24"/>
        </w:rPr>
        <w:fldChar w:fldCharType="separate"/>
      </w:r>
      <w:r>
        <w:rPr>
          <w:rStyle w:val="Style18"/>
          <w:color w:val="000000"/>
          <w:sz w:val="24"/>
          <w:szCs w:val="24"/>
        </w:rPr>
        <w:t>Законом</w:t>
      </w:r>
      <w:r>
        <w:rPr>
          <w:rStyle w:val="Style18"/>
          <w:sz w:val="24"/>
          <w:szCs w:val="24"/>
        </w:rPr>
        <w:fldChar w:fldCharType="end"/>
      </w:r>
      <w:r>
        <w:rPr>
          <w:color w:val="000000"/>
          <w:sz w:val="24"/>
          <w:szCs w:val="24"/>
        </w:rPr>
        <w:t xml:space="preserve"> Республики Казахстан от 16 мая 2014 года "О разрешениях и уведомлениях", в случае отсутствия сведений в информационных системах государственных органов;</w:t>
      </w:r>
    </w:p>
    <w:p>
      <w:pPr>
        <w:pStyle w:val="Normal"/>
        <w:ind w:left="0" w:right="0" w:firstLine="426"/>
        <w:jc w:val="both"/>
        <w:rPr>
          <w:rFonts w:ascii="Times New Roman" w:hAnsi="Times New Roman"/>
          <w:sz w:val="24"/>
          <w:szCs w:val="24"/>
        </w:rPr>
      </w:pPr>
      <w:bookmarkStart w:id="27" w:name="z3451"/>
      <w:bookmarkStart w:id="28" w:name="z346"/>
      <w:bookmarkEnd w:id="27"/>
      <w:bookmarkEnd w:id="28"/>
      <w:r>
        <w:rPr>
          <w:color w:val="000000"/>
          <w:sz w:val="24"/>
          <w:szCs w:val="24"/>
        </w:rPr>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pPr>
        <w:pStyle w:val="Normal"/>
        <w:ind w:left="0" w:right="0" w:firstLine="426"/>
        <w:jc w:val="both"/>
        <w:rPr>
          <w:rFonts w:ascii="Times New Roman" w:hAnsi="Times New Roman"/>
          <w:sz w:val="24"/>
          <w:szCs w:val="24"/>
        </w:rPr>
      </w:pPr>
      <w:bookmarkStart w:id="29" w:name="z347"/>
      <w:bookmarkStart w:id="30" w:name="z3461"/>
      <w:bookmarkEnd w:id="29"/>
      <w:bookmarkEnd w:id="30"/>
      <w:r>
        <w:rPr>
          <w:color w:val="000000"/>
          <w:sz w:val="24"/>
          <w:szCs w:val="24"/>
        </w:rPr>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pPr>
        <w:pStyle w:val="Normal"/>
        <w:ind w:left="0" w:right="0" w:firstLine="426"/>
        <w:jc w:val="both"/>
        <w:rPr>
          <w:rFonts w:ascii="Times New Roman" w:hAnsi="Times New Roman"/>
          <w:sz w:val="24"/>
          <w:szCs w:val="24"/>
        </w:rPr>
      </w:pPr>
      <w:bookmarkStart w:id="31" w:name="z348"/>
      <w:bookmarkStart w:id="32" w:name="z3471"/>
      <w:bookmarkEnd w:id="31"/>
      <w:bookmarkEnd w:id="32"/>
      <w:r>
        <w:rPr>
          <w:color w:val="000000"/>
          <w:sz w:val="24"/>
          <w:szCs w:val="24"/>
        </w:rPr>
        <w:t>8) непредставления подписанного оригинала справки банка об отсутствии просроченной задолженности согласно требованиям настоящих Правил;</w:t>
      </w:r>
    </w:p>
    <w:p>
      <w:pPr>
        <w:pStyle w:val="Normal"/>
        <w:ind w:left="0" w:right="0" w:firstLine="426"/>
        <w:jc w:val="both"/>
        <w:rPr>
          <w:rFonts w:ascii="Times New Roman" w:hAnsi="Times New Roman"/>
          <w:sz w:val="24"/>
          <w:szCs w:val="24"/>
        </w:rPr>
      </w:pPr>
      <w:bookmarkStart w:id="33" w:name="z349"/>
      <w:bookmarkStart w:id="34" w:name="z3481"/>
      <w:bookmarkEnd w:id="33"/>
      <w:bookmarkEnd w:id="34"/>
      <w:r>
        <w:rPr>
          <w:color w:val="000000"/>
          <w:sz w:val="24"/>
          <w:szCs w:val="24"/>
        </w:rPr>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pPr>
        <w:pStyle w:val="Normal"/>
        <w:ind w:left="0" w:right="0" w:firstLine="426"/>
        <w:jc w:val="both"/>
        <w:rPr>
          <w:rFonts w:ascii="Times New Roman" w:hAnsi="Times New Roman"/>
          <w:sz w:val="24"/>
          <w:szCs w:val="24"/>
        </w:rPr>
      </w:pPr>
      <w:bookmarkStart w:id="35" w:name="z3491"/>
      <w:bookmarkStart w:id="36" w:name="z350"/>
      <w:bookmarkEnd w:id="35"/>
      <w:bookmarkEnd w:id="36"/>
      <w:r>
        <w:rPr>
          <w:color w:val="000000"/>
          <w:sz w:val="24"/>
          <w:szCs w:val="24"/>
        </w:rPr>
        <w:t>10) непредставления сведений о квалификации по форме, утвержденной уполномоченным органом в области здравоохранения;</w:t>
      </w:r>
    </w:p>
    <w:p>
      <w:pPr>
        <w:pStyle w:val="Normal"/>
        <w:ind w:left="0" w:right="0" w:firstLine="426"/>
        <w:jc w:val="both"/>
        <w:rPr>
          <w:rFonts w:ascii="Times New Roman" w:hAnsi="Times New Roman"/>
          <w:sz w:val="24"/>
          <w:szCs w:val="24"/>
        </w:rPr>
      </w:pPr>
      <w:bookmarkStart w:id="37" w:name="z3501"/>
      <w:bookmarkStart w:id="38" w:name="z351"/>
      <w:bookmarkEnd w:id="37"/>
      <w:bookmarkEnd w:id="38"/>
      <w:r>
        <w:rPr>
          <w:color w:val="000000"/>
          <w:sz w:val="24"/>
          <w:szCs w:val="24"/>
        </w:rPr>
        <w:t>11) непредставления технической спецификации в соответствии с требованиями настоящих Правил;</w:t>
      </w:r>
    </w:p>
    <w:p>
      <w:pPr>
        <w:pStyle w:val="Normal"/>
        <w:ind w:left="0" w:right="0" w:firstLine="426"/>
        <w:jc w:val="both"/>
        <w:rPr>
          <w:rFonts w:ascii="Times New Roman" w:hAnsi="Times New Roman"/>
          <w:sz w:val="24"/>
          <w:szCs w:val="24"/>
        </w:rPr>
      </w:pPr>
      <w:bookmarkStart w:id="39" w:name="z3511"/>
      <w:bookmarkStart w:id="40" w:name="z352"/>
      <w:bookmarkEnd w:id="39"/>
      <w:bookmarkEnd w:id="40"/>
      <w:r>
        <w:rPr>
          <w:color w:val="000000"/>
          <w:sz w:val="24"/>
          <w:szCs w:val="24"/>
        </w:rPr>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Normal"/>
        <w:ind w:left="0" w:right="0" w:firstLine="426"/>
        <w:jc w:val="both"/>
        <w:rPr>
          <w:rFonts w:ascii="Times New Roman" w:hAnsi="Times New Roman"/>
          <w:sz w:val="24"/>
          <w:szCs w:val="24"/>
        </w:rPr>
      </w:pPr>
      <w:bookmarkStart w:id="41" w:name="z3521"/>
      <w:bookmarkStart w:id="42" w:name="z353"/>
      <w:bookmarkEnd w:id="41"/>
      <w:bookmarkEnd w:id="42"/>
      <w:r>
        <w:rPr>
          <w:color w:val="000000"/>
          <w:sz w:val="24"/>
          <w:szCs w:val="24"/>
        </w:rPr>
        <w:t>13)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p>
      <w:pPr>
        <w:pStyle w:val="Normal"/>
        <w:ind w:left="0" w:right="0" w:firstLine="426"/>
        <w:jc w:val="both"/>
        <w:rPr>
          <w:rFonts w:ascii="Times New Roman" w:hAnsi="Times New Roman"/>
          <w:sz w:val="24"/>
          <w:szCs w:val="24"/>
        </w:rPr>
      </w:pPr>
      <w:bookmarkStart w:id="43" w:name="z3531"/>
      <w:bookmarkStart w:id="44" w:name="z354"/>
      <w:bookmarkEnd w:id="43"/>
      <w:bookmarkEnd w:id="44"/>
      <w:r>
        <w:rPr>
          <w:color w:val="000000"/>
          <w:sz w:val="24"/>
          <w:szCs w:val="24"/>
        </w:rPr>
        <w:t>14) применения процедуры банкротства, ликвидации и (или) наличия в перечне недобросовестных поставщиков;</w:t>
      </w:r>
    </w:p>
    <w:p>
      <w:pPr>
        <w:pStyle w:val="Normal"/>
        <w:ind w:left="0" w:right="0" w:firstLine="426"/>
        <w:jc w:val="both"/>
        <w:rPr>
          <w:rFonts w:ascii="Times New Roman" w:hAnsi="Times New Roman"/>
          <w:sz w:val="24"/>
          <w:szCs w:val="24"/>
        </w:rPr>
      </w:pPr>
      <w:bookmarkStart w:id="45" w:name="z3541"/>
      <w:bookmarkStart w:id="46" w:name="z355"/>
      <w:bookmarkEnd w:id="45"/>
      <w:bookmarkEnd w:id="46"/>
      <w:r>
        <w:rPr>
          <w:color w:val="000000"/>
          <w:sz w:val="24"/>
          <w:szCs w:val="24"/>
        </w:rPr>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pPr>
        <w:pStyle w:val="Normal"/>
        <w:ind w:left="0" w:right="0" w:firstLine="426"/>
        <w:jc w:val="both"/>
        <w:rPr>
          <w:rFonts w:ascii="Times New Roman" w:hAnsi="Times New Roman"/>
          <w:sz w:val="24"/>
          <w:szCs w:val="24"/>
        </w:rPr>
      </w:pPr>
      <w:bookmarkStart w:id="47" w:name="z3551"/>
      <w:bookmarkStart w:id="48" w:name="z356"/>
      <w:bookmarkEnd w:id="47"/>
      <w:bookmarkEnd w:id="48"/>
      <w:r>
        <w:rPr>
          <w:color w:val="000000"/>
          <w:sz w:val="24"/>
          <w:szCs w:val="24"/>
        </w:rPr>
        <w:t>16) непредставления при необходимости копии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Normal"/>
        <w:ind w:left="0" w:right="0" w:firstLine="426"/>
        <w:jc w:val="both"/>
        <w:rPr>
          <w:rFonts w:ascii="Times New Roman" w:hAnsi="Times New Roman"/>
          <w:sz w:val="24"/>
          <w:szCs w:val="24"/>
        </w:rPr>
      </w:pPr>
      <w:bookmarkStart w:id="49" w:name="z3561"/>
      <w:bookmarkStart w:id="50" w:name="z357"/>
      <w:bookmarkEnd w:id="49"/>
      <w:bookmarkEnd w:id="50"/>
      <w:r>
        <w:rPr>
          <w:color w:val="000000"/>
          <w:sz w:val="24"/>
          <w:szCs w:val="24"/>
        </w:rPr>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Normal"/>
        <w:ind w:left="0" w:right="0" w:firstLine="426"/>
        <w:jc w:val="both"/>
        <w:rPr>
          <w:rFonts w:ascii="Times New Roman" w:hAnsi="Times New Roman"/>
          <w:sz w:val="24"/>
          <w:szCs w:val="24"/>
        </w:rPr>
      </w:pPr>
      <w:bookmarkStart w:id="51" w:name="z3571"/>
      <w:bookmarkStart w:id="52" w:name="z358"/>
      <w:bookmarkEnd w:id="51"/>
      <w:bookmarkEnd w:id="52"/>
      <w:r>
        <w:rPr>
          <w:color w:val="000000"/>
          <w:sz w:val="24"/>
          <w:szCs w:val="24"/>
        </w:rPr>
        <w:t>18) несоответствия требованиям пункта 17 настоящих Правил, за исключением случаев, предусмотренных пунктом 18 настоящих Правил;</w:t>
      </w:r>
    </w:p>
    <w:p>
      <w:pPr>
        <w:pStyle w:val="Normal"/>
        <w:ind w:left="0" w:right="0" w:firstLine="426"/>
        <w:jc w:val="both"/>
        <w:rPr>
          <w:rFonts w:ascii="Times New Roman" w:hAnsi="Times New Roman"/>
          <w:sz w:val="24"/>
          <w:szCs w:val="24"/>
        </w:rPr>
      </w:pPr>
      <w:bookmarkStart w:id="53" w:name="z3581"/>
      <w:bookmarkStart w:id="54" w:name="z359"/>
      <w:bookmarkEnd w:id="53"/>
      <w:bookmarkEnd w:id="54"/>
      <w:r>
        <w:rPr>
          <w:color w:val="000000"/>
          <w:sz w:val="24"/>
          <w:szCs w:val="24"/>
        </w:rPr>
        <w:t>19) установленных пунктами 26, 33 настоящих Правил;</w:t>
      </w:r>
    </w:p>
    <w:p>
      <w:pPr>
        <w:pStyle w:val="Normal"/>
        <w:ind w:left="0" w:right="0" w:firstLine="426"/>
        <w:jc w:val="both"/>
        <w:rPr>
          <w:rFonts w:ascii="Times New Roman" w:hAnsi="Times New Roman"/>
          <w:sz w:val="24"/>
          <w:szCs w:val="24"/>
        </w:rPr>
      </w:pPr>
      <w:bookmarkStart w:id="55" w:name="z3591"/>
      <w:bookmarkStart w:id="56" w:name="z360"/>
      <w:bookmarkEnd w:id="55"/>
      <w:bookmarkEnd w:id="56"/>
      <w:r>
        <w:rPr>
          <w:color w:val="000000"/>
          <w:sz w:val="24"/>
          <w:szCs w:val="24"/>
        </w:rPr>
        <w:t>20) если тендерная заявка имеет более короткий срок действия, чем указано в условиях тендерной документации;</w:t>
      </w:r>
    </w:p>
    <w:p>
      <w:pPr>
        <w:pStyle w:val="Normal"/>
        <w:ind w:left="0" w:right="0" w:firstLine="426"/>
        <w:jc w:val="both"/>
        <w:rPr>
          <w:rFonts w:ascii="Times New Roman" w:hAnsi="Times New Roman"/>
          <w:sz w:val="24"/>
          <w:szCs w:val="24"/>
        </w:rPr>
      </w:pPr>
      <w:bookmarkStart w:id="57" w:name="z3601"/>
      <w:bookmarkStart w:id="58" w:name="z361"/>
      <w:bookmarkEnd w:id="57"/>
      <w:bookmarkEnd w:id="58"/>
      <w:r>
        <w:rPr>
          <w:color w:val="000000"/>
          <w:sz w:val="24"/>
          <w:szCs w:val="24"/>
        </w:rPr>
        <w:t>21) если не представлена либо представлена неподписанная таблица цен;</w:t>
      </w:r>
    </w:p>
    <w:p>
      <w:pPr>
        <w:pStyle w:val="Normal"/>
        <w:ind w:left="0" w:right="0" w:firstLine="426"/>
        <w:jc w:val="both"/>
        <w:rPr>
          <w:rFonts w:ascii="Times New Roman" w:hAnsi="Times New Roman"/>
          <w:sz w:val="24"/>
          <w:szCs w:val="24"/>
        </w:rPr>
      </w:pPr>
      <w:bookmarkStart w:id="59" w:name="z3611"/>
      <w:bookmarkStart w:id="60" w:name="z362"/>
      <w:bookmarkEnd w:id="59"/>
      <w:bookmarkEnd w:id="60"/>
      <w:r>
        <w:rPr>
          <w:color w:val="000000"/>
          <w:sz w:val="24"/>
          <w:szCs w:val="24"/>
        </w:rPr>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Normal"/>
        <w:ind w:left="0" w:right="0" w:firstLine="426"/>
        <w:jc w:val="both"/>
        <w:rPr>
          <w:rFonts w:ascii="Times New Roman" w:hAnsi="Times New Roman"/>
          <w:sz w:val="24"/>
          <w:szCs w:val="24"/>
        </w:rPr>
      </w:pPr>
      <w:bookmarkStart w:id="61" w:name="z3621"/>
      <w:bookmarkStart w:id="62" w:name="z363"/>
      <w:bookmarkEnd w:id="61"/>
      <w:bookmarkEnd w:id="62"/>
      <w:r>
        <w:rPr>
          <w:color w:val="000000"/>
          <w:sz w:val="24"/>
          <w:szCs w:val="24"/>
        </w:rPr>
        <w:t>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Normal"/>
        <w:ind w:left="0" w:right="0" w:firstLine="426"/>
        <w:jc w:val="both"/>
        <w:rPr>
          <w:rFonts w:ascii="Times New Roman" w:hAnsi="Times New Roman"/>
          <w:sz w:val="24"/>
          <w:szCs w:val="24"/>
        </w:rPr>
      </w:pPr>
      <w:bookmarkStart w:id="63" w:name="z364"/>
      <w:bookmarkStart w:id="64" w:name="z3631"/>
      <w:bookmarkEnd w:id="63"/>
      <w:bookmarkEnd w:id="64"/>
      <w:r>
        <w:rPr>
          <w:color w:val="000000"/>
          <w:sz w:val="24"/>
          <w:szCs w:val="24"/>
        </w:rPr>
        <w:t>24) несоответствия потенциального поставщика и (или) соисполнителя предъявляемым квалификационным требованиям;</w:t>
      </w:r>
    </w:p>
    <w:p>
      <w:pPr>
        <w:pStyle w:val="Normal"/>
        <w:ind w:left="0" w:right="0" w:firstLine="426"/>
        <w:jc w:val="both"/>
        <w:rPr>
          <w:rFonts w:ascii="Times New Roman" w:hAnsi="Times New Roman"/>
          <w:sz w:val="24"/>
          <w:szCs w:val="24"/>
        </w:rPr>
      </w:pPr>
      <w:bookmarkStart w:id="65" w:name="z3641"/>
      <w:bookmarkStart w:id="66" w:name="z365"/>
      <w:bookmarkEnd w:id="65"/>
      <w:bookmarkEnd w:id="66"/>
      <w:r>
        <w:rPr>
          <w:color w:val="000000"/>
          <w:sz w:val="24"/>
          <w:szCs w:val="24"/>
        </w:rPr>
        <w:t>25) непредставления информации об отсутствии аффилированности в соответствии с пунктом 9 настоящих Правил;</w:t>
      </w:r>
    </w:p>
    <w:p>
      <w:pPr>
        <w:pStyle w:val="Normal"/>
        <w:ind w:left="0" w:right="0" w:firstLine="426"/>
        <w:jc w:val="both"/>
        <w:rPr>
          <w:rFonts w:ascii="Times New Roman" w:hAnsi="Times New Roman"/>
          <w:sz w:val="24"/>
          <w:szCs w:val="24"/>
        </w:rPr>
      </w:pPr>
      <w:bookmarkStart w:id="67" w:name="z366"/>
      <w:bookmarkStart w:id="68" w:name="z3651"/>
      <w:bookmarkEnd w:id="67"/>
      <w:bookmarkEnd w:id="68"/>
      <w:r>
        <w:rPr>
          <w:color w:val="000000"/>
          <w:sz w:val="24"/>
          <w:szCs w:val="24"/>
        </w:rPr>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pPr>
        <w:pStyle w:val="Normal"/>
        <w:ind w:left="0" w:right="0" w:firstLine="426"/>
        <w:jc w:val="both"/>
        <w:rPr>
          <w:rFonts w:ascii="Times New Roman" w:hAnsi="Times New Roman"/>
          <w:sz w:val="24"/>
          <w:szCs w:val="24"/>
        </w:rPr>
      </w:pPr>
      <w:bookmarkStart w:id="69" w:name="z3661"/>
      <w:bookmarkStart w:id="70" w:name="z367"/>
      <w:bookmarkEnd w:id="69"/>
      <w:bookmarkEnd w:id="70"/>
      <w:r>
        <w:rPr>
          <w:color w:val="000000"/>
          <w:sz w:val="24"/>
          <w:szCs w:val="24"/>
        </w:rPr>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pPr>
        <w:pStyle w:val="Normal"/>
        <w:ind w:left="0" w:right="0" w:firstLine="426"/>
        <w:jc w:val="both"/>
        <w:rPr>
          <w:rFonts w:ascii="Times New Roman" w:hAnsi="Times New Roman"/>
          <w:sz w:val="24"/>
          <w:szCs w:val="24"/>
        </w:rPr>
      </w:pPr>
      <w:bookmarkStart w:id="71" w:name="z3671"/>
      <w:bookmarkStart w:id="72" w:name="z368"/>
      <w:bookmarkEnd w:id="71"/>
      <w:bookmarkEnd w:id="72"/>
      <w:r>
        <w:rPr>
          <w:color w:val="000000"/>
          <w:sz w:val="24"/>
          <w:szCs w:val="24"/>
        </w:rPr>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w:t>
      </w:r>
    </w:p>
    <w:p>
      <w:pPr>
        <w:pStyle w:val="Normal"/>
        <w:jc w:val="center"/>
        <w:rPr>
          <w:rFonts w:ascii="Times New Roman" w:hAnsi="Times New Roman"/>
          <w:sz w:val="24"/>
          <w:szCs w:val="24"/>
        </w:rPr>
      </w:pPr>
      <w:r>
        <w:rPr>
          <w:sz w:val="24"/>
          <w:szCs w:val="24"/>
        </w:rPr>
      </w:r>
      <w:bookmarkStart w:id="73" w:name="z3681"/>
      <w:bookmarkStart w:id="74" w:name="z3681"/>
      <w:bookmarkEnd w:id="74"/>
    </w:p>
    <w:p>
      <w:pPr>
        <w:pStyle w:val="Heading3"/>
        <w:numPr>
          <w:ilvl w:val="2"/>
          <w:numId w:val="2"/>
        </w:numPr>
        <w:rPr/>
      </w:pPr>
      <w:r>
        <w:rPr>
          <w:rStyle w:val="S1"/>
          <w:rFonts w:eastAsia="Times New Roman" w:cs="Times New Roman" w:ascii="Times New Roman" w:hAnsi="Times New Roman"/>
          <w:b/>
          <w:bCs/>
          <w:i w:val="false"/>
          <w:iCs w:val="false"/>
          <w:color w:val="auto"/>
          <w:sz w:val="24"/>
          <w:szCs w:val="24"/>
          <w:lang w:val="ru-RU" w:eastAsia="zh-CN" w:bidi="ar-SA"/>
        </w:rPr>
        <w:t xml:space="preserve">14. </w:t>
      </w:r>
      <w:bookmarkStart w:id="75" w:name="z197"/>
      <w:bookmarkEnd w:id="75"/>
      <w:r>
        <w:rPr>
          <w:rStyle w:val="S1"/>
          <w:rFonts w:eastAsia="Times New Roman" w:cs="Times New Roman" w:ascii="Times New Roman" w:hAnsi="Times New Roman"/>
          <w:b/>
          <w:bCs/>
          <w:i w:val="false"/>
          <w:iCs w:val="false"/>
          <w:color w:val="auto"/>
          <w:sz w:val="24"/>
          <w:szCs w:val="24"/>
          <w:lang w:val="ru-RU" w:eastAsia="zh-CN" w:bidi="ar-SA"/>
        </w:rPr>
        <w:t>Поддержка отечественных товаропроизводителей и/или производителей государств-членов Евразийского экономического союза</w:t>
      </w:r>
    </w:p>
    <w:p>
      <w:pPr>
        <w:pStyle w:val="Normal"/>
        <w:rPr/>
      </w:pPr>
      <w:r>
        <w:rPr>
          <w:rStyle w:val="S1"/>
          <w:sz w:val="24"/>
          <w:szCs w:val="24"/>
        </w:rPr>
        <w:t>14.1.Поддержка отечественных производителей товаров</w:t>
      </w:r>
    </w:p>
    <w:p>
      <w:pPr>
        <w:pStyle w:val="Normal"/>
        <w:rPr>
          <w:rFonts w:ascii="Times New Roman" w:hAnsi="Times New Roman"/>
          <w:sz w:val="24"/>
          <w:szCs w:val="24"/>
        </w:rPr>
      </w:pPr>
      <w:r>
        <w:rPr>
          <w:sz w:val="24"/>
          <w:szCs w:val="24"/>
        </w:rPr>
        <w:t>14.1.1. В случае, если в тендере (двухэтапном тендере) по лоту участвует один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ЕАЭС (согласно Решений Совета Евразийской экономической комиссии от 3 ноября 2016 года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pPr>
        <w:pStyle w:val="Normal"/>
        <w:rPr>
          <w:rFonts w:ascii="Times New Roman" w:hAnsi="Times New Roman"/>
          <w:sz w:val="24"/>
          <w:szCs w:val="24"/>
        </w:rPr>
      </w:pPr>
      <w:bookmarkStart w:id="76" w:name="z199"/>
      <w:r>
        <w:rPr>
          <w:sz w:val="24"/>
          <w:szCs w:val="24"/>
        </w:rPr>
        <w:t xml:space="preserve">14.1.2. </w:t>
      </w:r>
      <w:bookmarkEnd w:id="76"/>
      <w:r>
        <w:rPr>
          <w:sz w:val="24"/>
          <w:szCs w:val="24"/>
        </w:rPr>
        <w:t>В случае, если в тендере (двухэтапном тендере) по лоту участвуют два и более потенциальных поставщиков, один из которых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pPr>
        <w:pStyle w:val="Normal"/>
        <w:rPr>
          <w:rFonts w:ascii="Times New Roman" w:hAnsi="Times New Roman"/>
          <w:sz w:val="24"/>
          <w:szCs w:val="24"/>
        </w:rPr>
      </w:pPr>
      <w:bookmarkStart w:id="77" w:name="z200"/>
      <w:r>
        <w:rPr>
          <w:sz w:val="24"/>
          <w:szCs w:val="24"/>
        </w:rPr>
        <w:t xml:space="preserve">14.1.3. </w:t>
      </w:r>
      <w:bookmarkEnd w:id="77"/>
      <w:r>
        <w:rPr>
          <w:sz w:val="24"/>
          <w:szCs w:val="24"/>
        </w:rPr>
        <w:t>В случае, если в тендере (двухэтапном тендере) по лоту участвуют два и более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тендерные заявки которых соответствуют требованиям настоящих Правил, заказчик, организатор закупа или единый дистрибьютор рассматривают тендерные заявки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а тендерные заявки других потенциальных поставщиков (при их наличии) отклоняются.</w:t>
      </w:r>
      <w:bookmarkStart w:id="78" w:name="z201"/>
      <w:bookmarkEnd w:id="78"/>
    </w:p>
    <w:p>
      <w:pPr>
        <w:pStyle w:val="Normal"/>
        <w:rPr>
          <w:rFonts w:ascii="Times New Roman" w:hAnsi="Times New Roman"/>
          <w:sz w:val="24"/>
          <w:szCs w:val="24"/>
        </w:rPr>
      </w:pPr>
      <w:bookmarkStart w:id="79" w:name="z202"/>
      <w:r>
        <w:rPr>
          <w:sz w:val="24"/>
          <w:szCs w:val="24"/>
        </w:rPr>
        <w:t xml:space="preserve">14.1.4. </w:t>
      </w:r>
      <w:bookmarkEnd w:id="79"/>
      <w:r>
        <w:rPr>
          <w:sz w:val="24"/>
          <w:szCs w:val="24"/>
        </w:rPr>
        <w:t>Статус отечественного производителя потенциального поставщика при проведении закупа подтверждается следующими документами:</w:t>
      </w:r>
    </w:p>
    <w:p>
      <w:pPr>
        <w:pStyle w:val="Normal"/>
        <w:rPr>
          <w:rFonts w:ascii="Times New Roman" w:hAnsi="Times New Roman"/>
          <w:sz w:val="24"/>
          <w:szCs w:val="24"/>
        </w:rPr>
      </w:pPr>
      <w:bookmarkStart w:id="80" w:name="z203"/>
      <w:bookmarkEnd w:id="80"/>
      <w:r>
        <w:rPr>
          <w:sz w:val="24"/>
          <w:szCs w:val="24"/>
        </w:rPr>
        <w:t>1) разрешение (лицензия) на осуществление фармацевтической деятельности по производству лекарственных средств, медицинских изделий или медицинского изделия, полученное в соответствии с законодательством Республики Казахстан о разрешениях и уведомлениях;</w:t>
      </w:r>
    </w:p>
    <w:p>
      <w:pPr>
        <w:pStyle w:val="Normal"/>
        <w:rPr>
          <w:rFonts w:ascii="Times New Roman" w:hAnsi="Times New Roman"/>
          <w:sz w:val="24"/>
          <w:szCs w:val="24"/>
        </w:rPr>
      </w:pPr>
      <w:bookmarkStart w:id="81" w:name="z204"/>
      <w:bookmarkEnd w:id="81"/>
      <w:r>
        <w:rPr>
          <w:sz w:val="24"/>
          <w:szCs w:val="24"/>
        </w:rPr>
        <w:t>2) регистрационное удостоверение на товар отечественного производителя, выданное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rPr>
          <w:rFonts w:ascii="Times New Roman" w:hAnsi="Times New Roman"/>
          <w:sz w:val="24"/>
          <w:szCs w:val="24"/>
        </w:rPr>
      </w:pPr>
      <w:r>
        <w:rPr>
          <w:sz w:val="24"/>
          <w:szCs w:val="24"/>
        </w:rPr>
        <w:t>При заключении договора или дополнительного соглашения к долгосрочному договору поставки, потенциальный поставщик - отечественный товаропроизводитель на поставляемые товары предоставляет сертификат о происхождении товара для внутреннего обращения "СТ KZ".</w:t>
      </w:r>
    </w:p>
    <w:p>
      <w:pPr>
        <w:pStyle w:val="Normal"/>
        <w:rPr>
          <w:rFonts w:ascii="Times New Roman" w:hAnsi="Times New Roman"/>
          <w:sz w:val="24"/>
          <w:szCs w:val="24"/>
        </w:rPr>
      </w:pPr>
      <w:r>
        <w:rPr>
          <w:sz w:val="24"/>
          <w:szCs w:val="24"/>
        </w:rPr>
        <w:t>14.1.5. Статус производителя государств-членов Евразийского экономического союза, имеющего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потенциального поставщика при проведении закупа подтверждается следующими документами:</w:t>
      </w:r>
    </w:p>
    <w:p>
      <w:pPr>
        <w:pStyle w:val="Normal"/>
        <w:rPr>
          <w:rFonts w:ascii="Times New Roman" w:hAnsi="Times New Roman"/>
          <w:sz w:val="24"/>
          <w:szCs w:val="24"/>
        </w:rPr>
      </w:pPr>
      <w:r>
        <w:rPr>
          <w:sz w:val="24"/>
          <w:szCs w:val="24"/>
        </w:rPr>
        <w:t>1) разрешением (лицензией) на осуществление фармацевтической деятельности по производству лекарственных средств и медицинских изделий, полученное в соответствии с законодательством Республики Казахстан о разрешениях и уведомлениях;</w:t>
      </w:r>
    </w:p>
    <w:p>
      <w:pPr>
        <w:pStyle w:val="Normal"/>
        <w:rPr>
          <w:rFonts w:ascii="Times New Roman" w:hAnsi="Times New Roman"/>
          <w:sz w:val="24"/>
          <w:szCs w:val="24"/>
        </w:rPr>
      </w:pPr>
      <w:r>
        <w:rPr>
          <w:sz w:val="24"/>
          <w:szCs w:val="24"/>
        </w:rPr>
        <w:t>2) регистрационным удостоверением, соответствующим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w:t>
      </w:r>
    </w:p>
    <w:p>
      <w:pPr>
        <w:pStyle w:val="Normal"/>
        <w:rPr>
          <w:b/>
          <w:b/>
          <w:bCs/>
        </w:rPr>
      </w:pPr>
      <w:r>
        <w:rPr>
          <w:b/>
          <w:bCs/>
          <w:sz w:val="24"/>
          <w:szCs w:val="24"/>
        </w:rPr>
        <w:t>14.2.Поддержка предпринимательской инициативы</w:t>
      </w:r>
    </w:p>
    <w:p>
      <w:pPr>
        <w:pStyle w:val="Normal"/>
        <w:rPr>
          <w:rFonts w:ascii="Times New Roman" w:hAnsi="Times New Roman"/>
          <w:sz w:val="24"/>
          <w:szCs w:val="24"/>
        </w:rPr>
      </w:pPr>
      <w:bookmarkStart w:id="82" w:name="z207"/>
      <w:r>
        <w:rPr>
          <w:sz w:val="24"/>
          <w:szCs w:val="24"/>
        </w:rPr>
        <w:t>14.2.1</w:t>
      </w:r>
      <w:r>
        <w:rPr>
          <w:color w:val="000000"/>
          <w:sz w:val="24"/>
          <w:szCs w:val="24"/>
        </w:rPr>
        <w:t xml:space="preserve">. </w:t>
      </w:r>
      <w:bookmarkEnd w:id="82"/>
      <w:r>
        <w:rPr>
          <w:sz w:val="24"/>
          <w:szCs w:val="24"/>
        </w:rPr>
        <w:t>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bookmarkStart w:id="83" w:name="z208"/>
    </w:p>
    <w:p>
      <w:pPr>
        <w:pStyle w:val="Normal"/>
        <w:rPr>
          <w:rFonts w:ascii="Times New Roman" w:hAnsi="Times New Roman"/>
          <w:sz w:val="24"/>
          <w:szCs w:val="24"/>
        </w:rPr>
      </w:pPr>
      <w:r>
        <w:rPr>
          <w:sz w:val="24"/>
          <w:szCs w:val="24"/>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pPr>
        <w:pStyle w:val="Normal"/>
        <w:rPr>
          <w:rFonts w:ascii="Times New Roman" w:hAnsi="Times New Roman"/>
          <w:sz w:val="24"/>
          <w:szCs w:val="24"/>
        </w:rPr>
      </w:pPr>
      <w:bookmarkEnd w:id="83"/>
      <w:r>
        <w:rPr>
          <w:sz w:val="24"/>
          <w:szCs w:val="24"/>
        </w:rPr>
        <w:t>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pPr>
        <w:pStyle w:val="Normal"/>
        <w:rPr>
          <w:rFonts w:ascii="Times New Roman" w:hAnsi="Times New Roman"/>
          <w:sz w:val="24"/>
          <w:szCs w:val="24"/>
        </w:rPr>
      </w:pPr>
      <w:bookmarkStart w:id="84" w:name="z210"/>
      <w:bookmarkEnd w:id="84"/>
      <w:r>
        <w:rPr>
          <w:sz w:val="24"/>
          <w:szCs w:val="24"/>
        </w:rPr>
        <w:t>3) надлежащей аптечной практики (GPP) при закупе фармацевтических услуг.</w:t>
      </w:r>
      <w:bookmarkStart w:id="85" w:name="z211"/>
    </w:p>
    <w:p>
      <w:pPr>
        <w:pStyle w:val="Normal"/>
        <w:rPr>
          <w:rFonts w:ascii="Times New Roman" w:hAnsi="Times New Roman"/>
          <w:sz w:val="24"/>
          <w:szCs w:val="24"/>
        </w:rPr>
      </w:pPr>
      <w:r>
        <w:rPr>
          <w:sz w:val="24"/>
          <w:szCs w:val="24"/>
        </w:rPr>
        <w:t>14.2.2</w:t>
      </w:r>
      <w:r>
        <w:rPr>
          <w:color w:val="000000"/>
          <w:sz w:val="24"/>
          <w:szCs w:val="24"/>
        </w:rPr>
        <w:t>. Для получения преимущества на заключение договора закупа или договора поставки к тендерной заявке:</w:t>
      </w:r>
    </w:p>
    <w:p>
      <w:pPr>
        <w:pStyle w:val="Normal"/>
        <w:rPr>
          <w:rFonts w:ascii="Times New Roman" w:hAnsi="Times New Roman"/>
          <w:sz w:val="24"/>
          <w:szCs w:val="24"/>
        </w:rPr>
      </w:pPr>
      <w:bookmarkEnd w:id="85"/>
      <w:r>
        <w:rPr>
          <w:sz w:val="24"/>
          <w:szCs w:val="24"/>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pPr>
        <w:pStyle w:val="Normal"/>
        <w:rPr>
          <w:rFonts w:ascii="Times New Roman" w:hAnsi="Times New Roman"/>
          <w:sz w:val="24"/>
          <w:szCs w:val="24"/>
        </w:rPr>
      </w:pPr>
      <w:bookmarkStart w:id="86" w:name="z213"/>
      <w:r>
        <w:rPr>
          <w:sz w:val="24"/>
          <w:szCs w:val="24"/>
        </w:rPr>
        <w:t>2</w:t>
      </w:r>
      <w:bookmarkEnd w:id="86"/>
      <w:r>
        <w:rPr>
          <w:sz w:val="24"/>
          <w:szCs w:val="24"/>
        </w:rPr>
        <w:t>)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bookmarkStart w:id="87" w:name="z214"/>
    </w:p>
    <w:p>
      <w:pPr>
        <w:pStyle w:val="Normal"/>
        <w:rPr>
          <w:rFonts w:ascii="Times New Roman" w:hAnsi="Times New Roman"/>
          <w:sz w:val="24"/>
          <w:szCs w:val="24"/>
        </w:rPr>
      </w:pPr>
      <w:r>
        <w:rPr>
          <w:sz w:val="24"/>
          <w:szCs w:val="24"/>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pPr>
        <w:pStyle w:val="Normal"/>
        <w:rPr>
          <w:rFonts w:ascii="Times New Roman" w:hAnsi="Times New Roman"/>
          <w:sz w:val="24"/>
          <w:szCs w:val="24"/>
        </w:rPr>
      </w:pPr>
      <w:bookmarkEnd w:id="87"/>
      <w:r>
        <w:rPr>
          <w:sz w:val="24"/>
          <w:szCs w:val="24"/>
        </w:rPr>
        <w:t>14.2.</w:t>
      </w:r>
      <w:bookmarkStart w:id="88" w:name="z215"/>
      <w:r>
        <w:rPr>
          <w:sz w:val="24"/>
          <w:szCs w:val="24"/>
        </w:rPr>
        <w:t xml:space="preserve">3. </w:t>
      </w:r>
      <w:bookmarkEnd w:id="88"/>
      <w:r>
        <w:rPr>
          <w:sz w:val="24"/>
          <w:szCs w:val="24"/>
        </w:rPr>
        <w:t>Если в тендере (двухэтапном тендере) по лоту участвует только один потенциальный поставщик, представивший тендерную заявку, соответствующую требованиям настоящих Правил, сертификат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bookmarkStart w:id="89" w:name="z216"/>
    </w:p>
    <w:p>
      <w:pPr>
        <w:pStyle w:val="Normal"/>
        <w:rPr>
          <w:rFonts w:ascii="Times New Roman" w:hAnsi="Times New Roman"/>
          <w:sz w:val="24"/>
          <w:szCs w:val="24"/>
        </w:rPr>
      </w:pPr>
      <w:r>
        <w:rPr>
          <w:sz w:val="24"/>
          <w:szCs w:val="24"/>
        </w:rPr>
        <w:t xml:space="preserve">14.2.4. Если в тендере (двухэтапном тендере) по лоту участвует два и более потенциальных поставщиков, один из которых потенциальный поставщик, представивший тендерную заявку, соответствующую требованиям настоящих Правил, сертификат о соответствии объекта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 </w:t>
      </w:r>
    </w:p>
    <w:p>
      <w:pPr>
        <w:pStyle w:val="Normal"/>
        <w:rPr>
          <w:rFonts w:ascii="Times New Roman" w:hAnsi="Times New Roman"/>
          <w:sz w:val="24"/>
          <w:szCs w:val="24"/>
        </w:rPr>
      </w:pPr>
      <w:bookmarkEnd w:id="89"/>
      <w:r>
        <w:rPr>
          <w:sz w:val="24"/>
          <w:szCs w:val="24"/>
        </w:rPr>
        <w:t>14.2.</w:t>
      </w:r>
      <w:bookmarkStart w:id="90" w:name="z217"/>
      <w:r>
        <w:rPr>
          <w:sz w:val="24"/>
          <w:szCs w:val="24"/>
        </w:rPr>
        <w:t>5. Если в тендере (двухэтапном тендере) по лоту участвуют два и более потенциальных поставщиков, представивших тендерные заявки, соответствующие требованиям настоящих Правил, сертификаты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то комиссия рассматривает только их тендерные заявки, а тендерные заявки других потенциальных поставщиков (при их наличии) отклоняются.</w:t>
      </w:r>
    </w:p>
    <w:p>
      <w:pPr>
        <w:pStyle w:val="Normal"/>
        <w:ind w:left="0" w:right="0" w:firstLine="400"/>
        <w:jc w:val="both"/>
        <w:rPr>
          <w:rFonts w:ascii="Times New Roman" w:hAnsi="Times New Roman"/>
          <w:sz w:val="24"/>
          <w:szCs w:val="24"/>
        </w:rPr>
      </w:pPr>
      <w:r>
        <w:rPr>
          <w:sz w:val="24"/>
          <w:szCs w:val="24"/>
        </w:rPr>
      </w:r>
      <w:bookmarkStart w:id="91" w:name="z2051"/>
      <w:bookmarkStart w:id="92" w:name="z2051"/>
      <w:bookmarkEnd w:id="90"/>
      <w:bookmarkEnd w:id="92"/>
    </w:p>
    <w:p>
      <w:pPr>
        <w:pStyle w:val="Heading3"/>
        <w:numPr>
          <w:ilvl w:val="2"/>
          <w:numId w:val="2"/>
        </w:numPr>
        <w:rPr/>
      </w:pPr>
      <w:r>
        <w:rPr>
          <w:rStyle w:val="S1"/>
          <w:rFonts w:eastAsia="Times New Roman" w:ascii="Times New Roman" w:hAnsi="Times New Roman"/>
          <w:i w:val="false"/>
          <w:iCs w:val="false"/>
          <w:color w:val="auto"/>
          <w:sz w:val="24"/>
          <w:szCs w:val="24"/>
          <w:lang w:val="ru-RU" w:eastAsia="zh-CN" w:bidi="ar-SA"/>
        </w:rPr>
        <w:t>15. Условия внесения, форма, объем и способ гарантийного обеспечения договора на товары</w:t>
      </w:r>
    </w:p>
    <w:p>
      <w:pPr>
        <w:pStyle w:val="Normal"/>
        <w:rPr/>
      </w:pPr>
      <w:r>
        <w:rPr>
          <w:rStyle w:val="S0"/>
          <w:sz w:val="24"/>
          <w:szCs w:val="24"/>
        </w:rPr>
        <w:t>15.1.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Normal"/>
        <w:rPr/>
      </w:pPr>
      <w:bookmarkStart w:id="93" w:name="SUB9500"/>
      <w:bookmarkEnd w:id="93"/>
      <w:r>
        <w:rPr>
          <w:rStyle w:val="S0"/>
          <w:sz w:val="24"/>
          <w:szCs w:val="24"/>
        </w:rPr>
        <w:t>15.2. Гарантийное обеспечение составляет три процента от цены договора закупа и представляется в виде:</w:t>
      </w:r>
    </w:p>
    <w:p>
      <w:pPr>
        <w:pStyle w:val="Normal"/>
        <w:rPr/>
      </w:pPr>
      <w:r>
        <w:rPr>
          <w:rStyle w:val="S0"/>
          <w:sz w:val="24"/>
          <w:szCs w:val="24"/>
        </w:rPr>
        <w:t>1) гарантийного взноса в виде денежных средств, размещаемых в обслуживающем банке заказчика;</w:t>
      </w:r>
    </w:p>
    <w:p>
      <w:pPr>
        <w:pStyle w:val="Normal"/>
        <w:rPr/>
      </w:pPr>
      <w:r>
        <w:rPr>
          <w:rStyle w:val="S0"/>
          <w:sz w:val="24"/>
          <w:szCs w:val="24"/>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pPr>
        <w:pStyle w:val="Normal"/>
        <w:rPr/>
      </w:pPr>
      <w:bookmarkStart w:id="94" w:name="SUB9600"/>
      <w:bookmarkEnd w:id="94"/>
      <w:r>
        <w:rPr>
          <w:rStyle w:val="S0"/>
          <w:sz w:val="24"/>
          <w:szCs w:val="24"/>
        </w:rPr>
        <w:t xml:space="preserve">3. Гарантийное обеспечение в виде гарантийного взноса денежных средств вносится потенциальным поставщиком на </w:t>
      </w:r>
      <w:r>
        <w:rPr>
          <w:rStyle w:val="S0"/>
          <w:sz w:val="24"/>
          <w:szCs w:val="24"/>
          <w:highlight w:val="yellow"/>
        </w:rPr>
        <w:t>соответствующий</w:t>
      </w:r>
      <w:r>
        <w:rPr>
          <w:rStyle w:val="S0"/>
          <w:sz w:val="24"/>
          <w:szCs w:val="24"/>
        </w:rPr>
        <w:t xml:space="preserve"> счет заказчика.</w:t>
      </w:r>
    </w:p>
    <w:p>
      <w:pPr>
        <w:pStyle w:val="Normal"/>
        <w:rPr/>
      </w:pPr>
      <w:bookmarkStart w:id="95" w:name="SUB9700"/>
      <w:bookmarkEnd w:id="95"/>
      <w:r>
        <w:rPr>
          <w:rStyle w:val="S0"/>
          <w:sz w:val="24"/>
          <w:szCs w:val="24"/>
        </w:rPr>
        <w:t>15.4. Гарантийное обеспечение не вносится, если цена договора закупа не превышает двухтысячекратного размера месячного расчетного показателя на соответствующий финансовый год.</w:t>
      </w:r>
    </w:p>
    <w:p>
      <w:pPr>
        <w:pStyle w:val="Normal"/>
        <w:rPr/>
      </w:pPr>
      <w:bookmarkStart w:id="96" w:name="SUB9800"/>
      <w:bookmarkEnd w:id="96"/>
      <w:r>
        <w:rPr>
          <w:rStyle w:val="S0"/>
          <w:sz w:val="24"/>
          <w:szCs w:val="24"/>
        </w:rPr>
        <w:t>15.5.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pPr>
        <w:pStyle w:val="Normal"/>
        <w:rPr/>
      </w:pPr>
      <w:r>
        <w:rPr>
          <w:rStyle w:val="S0"/>
          <w:sz w:val="24"/>
          <w:szCs w:val="24"/>
        </w:rPr>
        <w:t>Гарантийное обеспечение исполнения договора закупа не возвращается заказчиком поставщику в случаях:</w:t>
      </w:r>
    </w:p>
    <w:p>
      <w:pPr>
        <w:pStyle w:val="Normal"/>
        <w:rPr/>
      </w:pPr>
      <w:r>
        <w:rPr>
          <w:rStyle w:val="S0"/>
          <w:sz w:val="24"/>
          <w:szCs w:val="24"/>
        </w:rPr>
        <w:t>1) расторжения договора закупа в связи с неисполнением или ненадлежащим исполнением поставщиком договорных обязательств;</w:t>
      </w:r>
    </w:p>
    <w:p>
      <w:pPr>
        <w:pStyle w:val="Normal"/>
        <w:rPr/>
      </w:pPr>
      <w:r>
        <w:rPr>
          <w:rStyle w:val="S0"/>
          <w:sz w:val="24"/>
          <w:szCs w:val="24"/>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pPr>
        <w:pStyle w:val="Normal"/>
        <w:rPr/>
      </w:pPr>
      <w:r>
        <w:rPr>
          <w:rStyle w:val="S0"/>
          <w:sz w:val="24"/>
          <w:szCs w:val="24"/>
        </w:rPr>
        <w:t>3) неуплаты штрафных санкций за неисполнение или ненадлежащее исполнение, предусмотренных договором закупа.</w:t>
      </w:r>
    </w:p>
    <w:p>
      <w:pPr>
        <w:pStyle w:val="Heading3"/>
        <w:numPr>
          <w:ilvl w:val="2"/>
          <w:numId w:val="2"/>
        </w:numPr>
        <w:rPr/>
      </w:pPr>
      <w:r>
        <w:rPr>
          <w:rStyle w:val="S1"/>
          <w:rFonts w:eastAsia="Times New Roman" w:ascii="Times New Roman" w:hAnsi="Times New Roman"/>
          <w:i w:val="false"/>
          <w:iCs w:val="false"/>
          <w:color w:val="auto"/>
          <w:sz w:val="24"/>
          <w:szCs w:val="24"/>
          <w:lang w:val="ru-RU" w:eastAsia="zh-CN" w:bidi="ar-SA"/>
        </w:rPr>
        <w:t>18. Сведения о квалификации потенциального поставщика</w:t>
      </w:r>
    </w:p>
    <w:p>
      <w:pPr>
        <w:pStyle w:val="Normal"/>
        <w:rPr/>
      </w:pPr>
      <w:r>
        <w:rPr>
          <w:rStyle w:val="S0"/>
          <w:sz w:val="24"/>
          <w:szCs w:val="24"/>
        </w:rPr>
        <w:t xml:space="preserve">Сведения о квалификации потенциального поставщика предоставляется согласно </w:t>
      </w:r>
      <w:r>
        <w:rPr>
          <w:rStyle w:val="S0"/>
          <w:rFonts w:eastAsia="Times New Roman"/>
          <w:sz w:val="24"/>
          <w:szCs w:val="24"/>
          <w:highlight w:val="yellow"/>
          <w:lang w:val="ru-RU" w:eastAsia="zh-CN" w:bidi="ar-SA"/>
        </w:rPr>
        <w:t>приложению 6</w:t>
      </w:r>
      <w:r>
        <w:rPr>
          <w:rStyle w:val="S0"/>
          <w:sz w:val="24"/>
          <w:szCs w:val="24"/>
        </w:rPr>
        <w:t xml:space="preserve"> к тендерной документации, согласно форме утвержденной уполномоченным органов в области здравоохранения. </w:t>
      </w:r>
    </w:p>
    <w:p>
      <w:pPr>
        <w:pStyle w:val="Heading3"/>
        <w:numPr>
          <w:ilvl w:val="2"/>
          <w:numId w:val="2"/>
        </w:numPr>
        <w:rPr/>
      </w:pPr>
      <w:r>
        <w:rPr>
          <w:rStyle w:val="S1"/>
          <w:rFonts w:eastAsia="Times New Roman" w:ascii="Times New Roman" w:hAnsi="Times New Roman"/>
          <w:i w:val="false"/>
          <w:iCs w:val="false"/>
          <w:color w:val="auto"/>
          <w:sz w:val="24"/>
          <w:szCs w:val="24"/>
          <w:lang w:val="ru-RU" w:eastAsia="zh-CN" w:bidi="ar-SA"/>
        </w:rPr>
        <w:t xml:space="preserve">19. </w:t>
      </w:r>
      <w:bookmarkStart w:id="97" w:name="z169"/>
      <w:bookmarkEnd w:id="97"/>
      <w:r>
        <w:rPr>
          <w:rStyle w:val="S1"/>
          <w:rFonts w:eastAsia="Times New Roman" w:ascii="Times New Roman" w:hAnsi="Times New Roman"/>
          <w:i w:val="false"/>
          <w:iCs w:val="false"/>
          <w:color w:val="auto"/>
          <w:sz w:val="24"/>
          <w:szCs w:val="24"/>
          <w:lang w:val="ru-RU" w:eastAsia="zh-CN" w:bidi="ar-SA"/>
        </w:rPr>
        <w:t>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pPr>
        <w:pStyle w:val="Normal"/>
        <w:rPr/>
      </w:pPr>
      <w:r>
        <w:rPr>
          <w:rStyle w:val="S0"/>
          <w:sz w:val="24"/>
          <w:szCs w:val="24"/>
        </w:rPr>
        <w:t>19.1.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Pr>
          <w:color w:val="000000"/>
          <w:sz w:val="24"/>
          <w:szCs w:val="24"/>
        </w:rPr>
        <w:t>:</w:t>
      </w:r>
    </w:p>
    <w:p>
      <w:pPr>
        <w:pStyle w:val="Normal"/>
        <w:rPr/>
      </w:pPr>
      <w:bookmarkStart w:id="98" w:name="z171"/>
      <w:bookmarkEnd w:id="98"/>
      <w:r>
        <w:rPr>
          <w:sz w:val="24"/>
          <w:szCs w:val="24"/>
        </w:rPr>
        <w:t xml:space="preserve">1) наличие регистрации лекарственных средств, медицинских изделий в Республике Казахстан в соответствии с положениями </w:t>
      </w:r>
      <w:r>
        <w:fldChar w:fldCharType="begin"/>
      </w:r>
      <w:r>
        <w:rPr>
          <w:rStyle w:val="Style18"/>
          <w:sz w:val="24"/>
          <w:szCs w:val="24"/>
        </w:rPr>
        <w:instrText> HYPERLINK "http://adilet.zan.kz/rus/docs/K090000193_" \l "z1"</w:instrText>
      </w:r>
      <w:r>
        <w:rPr>
          <w:rStyle w:val="Style18"/>
          <w:sz w:val="24"/>
          <w:szCs w:val="24"/>
        </w:rPr>
        <w:fldChar w:fldCharType="separate"/>
      </w:r>
      <w:r>
        <w:rPr>
          <w:rStyle w:val="Style18"/>
          <w:sz w:val="24"/>
          <w:szCs w:val="24"/>
        </w:rPr>
        <w:t>Кодекса</w:t>
      </w:r>
      <w:r>
        <w:rPr>
          <w:rStyle w:val="Style18"/>
          <w:sz w:val="24"/>
          <w:szCs w:val="24"/>
        </w:rPr>
        <w:fldChar w:fldCharType="end"/>
      </w:r>
      <w:r>
        <w:rPr>
          <w:sz w:val="24"/>
          <w:szCs w:val="24"/>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rPr>
          <w:rFonts w:ascii="Times New Roman" w:hAnsi="Times New Roman"/>
          <w:sz w:val="24"/>
          <w:szCs w:val="24"/>
        </w:rPr>
      </w:pPr>
      <w:bookmarkStart w:id="99" w:name="z1711"/>
      <w:bookmarkStart w:id="100" w:name="z172"/>
      <w:bookmarkEnd w:id="99"/>
      <w:bookmarkEnd w:id="100"/>
      <w:r>
        <w:rPr>
          <w:sz w:val="24"/>
          <w:szCs w:val="24"/>
        </w:rPr>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pPr>
        <w:pStyle w:val="Normal"/>
        <w:rPr>
          <w:rFonts w:ascii="Times New Roman" w:hAnsi="Times New Roman"/>
          <w:sz w:val="24"/>
          <w:szCs w:val="24"/>
        </w:rPr>
      </w:pPr>
      <w:bookmarkStart w:id="101" w:name="z1721"/>
      <w:bookmarkStart w:id="102" w:name="z173"/>
      <w:bookmarkEnd w:id="101"/>
      <w:bookmarkEnd w:id="102"/>
      <w:r>
        <w:rPr>
          <w:sz w:val="24"/>
          <w:szCs w:val="24"/>
        </w:rPr>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pPr>
        <w:pStyle w:val="Normal"/>
        <w:rPr>
          <w:rFonts w:ascii="Times New Roman" w:hAnsi="Times New Roman"/>
          <w:sz w:val="24"/>
          <w:szCs w:val="24"/>
        </w:rPr>
      </w:pPr>
      <w:bookmarkStart w:id="103" w:name="z1731"/>
      <w:bookmarkStart w:id="104" w:name="z174"/>
      <w:bookmarkEnd w:id="103"/>
      <w:bookmarkEnd w:id="104"/>
      <w:r>
        <w:rPr>
          <w:sz w:val="24"/>
          <w:szCs w:val="24"/>
        </w:rPr>
        <w:t>4) срок годности лекарственных средств, медицинских изделий на дату поставки поставщиком заказчику составляет:</w:t>
      </w:r>
    </w:p>
    <w:p>
      <w:pPr>
        <w:pStyle w:val="Normal"/>
        <w:rPr>
          <w:rFonts w:ascii="Times New Roman" w:hAnsi="Times New Roman"/>
          <w:sz w:val="24"/>
          <w:szCs w:val="24"/>
        </w:rPr>
      </w:pPr>
      <w:r>
        <w:rPr>
          <w:sz w:val="24"/>
          <w:szCs w:val="24"/>
        </w:rPr>
        <w:t>не менее пятидесяти процентов от указанного срока годности на упаковке (при сроке годности менее двух лет);</w:t>
      </w:r>
    </w:p>
    <w:p>
      <w:pPr>
        <w:pStyle w:val="Normal"/>
        <w:rPr>
          <w:rFonts w:ascii="Times New Roman" w:hAnsi="Times New Roman"/>
          <w:sz w:val="24"/>
          <w:szCs w:val="24"/>
        </w:rPr>
      </w:pPr>
      <w:r>
        <w:rPr>
          <w:sz w:val="24"/>
          <w:szCs w:val="24"/>
        </w:rPr>
        <w:t>не менее двенадцати месяцев от указанного срока годности на упаковке (при сроке годности два года и более);</w:t>
      </w:r>
    </w:p>
    <w:p>
      <w:pPr>
        <w:pStyle w:val="Normal"/>
        <w:rPr>
          <w:rFonts w:ascii="Times New Roman" w:hAnsi="Times New Roman"/>
          <w:sz w:val="24"/>
          <w:szCs w:val="24"/>
        </w:rPr>
      </w:pPr>
      <w:bookmarkStart w:id="105" w:name="z1761"/>
      <w:bookmarkStart w:id="106" w:name="z177"/>
      <w:bookmarkEnd w:id="105"/>
      <w:bookmarkEnd w:id="106"/>
      <w:r>
        <w:rPr>
          <w:sz w:val="24"/>
          <w:szCs w:val="24"/>
        </w:rPr>
        <w:t>5) срок годности лекарственных средств, медицинских изделий на дату поставки поставщиком единому дистрибьютору составляет:</w:t>
      </w:r>
    </w:p>
    <w:p>
      <w:pPr>
        <w:pStyle w:val="Normal"/>
        <w:rPr>
          <w:rFonts w:ascii="Times New Roman" w:hAnsi="Times New Roman"/>
          <w:sz w:val="24"/>
          <w:szCs w:val="24"/>
        </w:rPr>
      </w:pPr>
      <w:r>
        <w:rPr>
          <w:sz w:val="24"/>
          <w:szCs w:val="24"/>
        </w:rPr>
        <w:t>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pPr>
        <w:pStyle w:val="Normal"/>
        <w:rPr>
          <w:rFonts w:ascii="Times New Roman" w:hAnsi="Times New Roman"/>
          <w:sz w:val="24"/>
          <w:szCs w:val="24"/>
        </w:rPr>
      </w:pPr>
      <w:r>
        <w:rPr>
          <w:sz w:val="24"/>
          <w:szCs w:val="24"/>
        </w:rPr>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pPr>
        <w:pStyle w:val="Normal"/>
        <w:rPr/>
      </w:pPr>
      <w:bookmarkStart w:id="107" w:name="z1791"/>
      <w:bookmarkStart w:id="108" w:name="z180"/>
      <w:bookmarkEnd w:id="107"/>
      <w:bookmarkEnd w:id="108"/>
      <w:r>
        <w:rPr>
          <w:sz w:val="24"/>
          <w:szCs w:val="24"/>
        </w:rPr>
        <w:t xml:space="preserve">6) срок годности лекарственных средств, медицинских изделий, за исключением товаров, указанных в </w:t>
      </w:r>
      <w:r>
        <w:fldChar w:fldCharType="begin"/>
      </w:r>
      <w:r>
        <w:rPr>
          <w:rStyle w:val="Style18"/>
          <w:sz w:val="24"/>
          <w:szCs w:val="24"/>
        </w:rPr>
        <w:instrText> HYPERLINK "http://adilet.zan.kz/rus/docs/P1900000347" \l "z106"</w:instrText>
      </w:r>
      <w:r>
        <w:rPr>
          <w:rStyle w:val="Style18"/>
          <w:sz w:val="24"/>
          <w:szCs w:val="24"/>
        </w:rPr>
        <w:fldChar w:fldCharType="separate"/>
      </w:r>
      <w:r>
        <w:rPr>
          <w:rStyle w:val="Style18"/>
          <w:sz w:val="24"/>
          <w:szCs w:val="24"/>
        </w:rPr>
        <w:t>подпункте 7)</w:t>
      </w:r>
      <w:r>
        <w:rPr>
          <w:rStyle w:val="Style18"/>
          <w:sz w:val="24"/>
          <w:szCs w:val="24"/>
        </w:rPr>
        <w:fldChar w:fldCharType="end"/>
      </w:r>
      <w:r>
        <w:rPr>
          <w:sz w:val="24"/>
          <w:szCs w:val="24"/>
        </w:rPr>
        <w:t xml:space="preserve"> пункта Правил, на дату поставки единым дистрибьютором заказчику составляет</w:t>
      </w:r>
    </w:p>
    <w:p>
      <w:pPr>
        <w:pStyle w:val="Normal"/>
        <w:rPr>
          <w:rFonts w:ascii="Times New Roman" w:hAnsi="Times New Roman"/>
          <w:sz w:val="24"/>
          <w:szCs w:val="24"/>
        </w:rPr>
      </w:pPr>
      <w:r>
        <w:rPr>
          <w:sz w:val="24"/>
          <w:szCs w:val="24"/>
        </w:rPr>
        <w:t>не менее тридцати процентов от срока годности, указанного на упаковке (при сроке годности менее двух лет);</w:t>
      </w:r>
    </w:p>
    <w:p>
      <w:pPr>
        <w:pStyle w:val="Normal"/>
        <w:rPr>
          <w:rFonts w:ascii="Times New Roman" w:hAnsi="Times New Roman"/>
          <w:sz w:val="24"/>
          <w:szCs w:val="24"/>
        </w:rPr>
      </w:pPr>
      <w:r>
        <w:rPr>
          <w:sz w:val="24"/>
          <w:szCs w:val="24"/>
        </w:rPr>
        <w:t>не менее восьми месяцев от указанного срока годности на упаковке (при сроке годности два года и более);</w:t>
      </w:r>
    </w:p>
    <w:p>
      <w:pPr>
        <w:pStyle w:val="Normal"/>
        <w:rPr>
          <w:rFonts w:ascii="Times New Roman" w:hAnsi="Times New Roman"/>
          <w:sz w:val="24"/>
          <w:szCs w:val="24"/>
        </w:rPr>
      </w:pPr>
      <w:r>
        <w:rPr>
          <w:sz w:val="24"/>
          <w:szCs w:val="24"/>
        </w:rPr>
        <w:t>7) срок годности вакцин на дату поставки единым дистрибьютором заказчику составляет:</w:t>
      </w:r>
    </w:p>
    <w:p>
      <w:pPr>
        <w:pStyle w:val="Normal"/>
        <w:rPr>
          <w:rFonts w:ascii="Times New Roman" w:hAnsi="Times New Roman"/>
          <w:sz w:val="24"/>
          <w:szCs w:val="24"/>
        </w:rPr>
      </w:pPr>
      <w:r>
        <w:rPr>
          <w:sz w:val="24"/>
          <w:szCs w:val="24"/>
        </w:rPr>
        <w:t>не менее сорока процентов от указанного срока годности на упаковке (при сроке годности менее двух лет);</w:t>
      </w:r>
    </w:p>
    <w:p>
      <w:pPr>
        <w:pStyle w:val="Normal"/>
        <w:rPr>
          <w:rFonts w:ascii="Times New Roman" w:hAnsi="Times New Roman"/>
          <w:sz w:val="24"/>
          <w:szCs w:val="24"/>
        </w:rPr>
      </w:pPr>
      <w:r>
        <w:rPr>
          <w:sz w:val="24"/>
          <w:szCs w:val="24"/>
        </w:rPr>
        <w:t>не менее десяти месяцев от указанного срока годности на упаковке (при сроке годности два года и более);</w:t>
      </w:r>
    </w:p>
    <w:p>
      <w:pPr>
        <w:pStyle w:val="Normal"/>
        <w:rPr>
          <w:rFonts w:ascii="Times New Roman" w:hAnsi="Times New Roman"/>
          <w:sz w:val="24"/>
          <w:szCs w:val="24"/>
        </w:rPr>
      </w:pPr>
      <w:bookmarkStart w:id="109" w:name="z1851"/>
      <w:bookmarkStart w:id="110" w:name="z186"/>
      <w:bookmarkEnd w:id="109"/>
      <w:bookmarkEnd w:id="110"/>
      <w:r>
        <w:rPr>
          <w:sz w:val="24"/>
          <w:szCs w:val="24"/>
        </w:rPr>
        <w:t>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pPr>
        <w:pStyle w:val="Normal"/>
        <w:rPr/>
      </w:pPr>
      <w:bookmarkStart w:id="111" w:name="z1861"/>
      <w:bookmarkEnd w:id="111"/>
      <w:r>
        <w:rPr>
          <w:color w:val="000000"/>
          <w:sz w:val="24"/>
          <w:szCs w:val="24"/>
        </w:rPr>
        <w:t xml:space="preserve">9) </w:t>
      </w:r>
      <w:r>
        <w:rPr>
          <w:rStyle w:val="S0"/>
          <w:color w:val="000000"/>
          <w:sz w:val="24"/>
          <w:szCs w:val="24"/>
        </w:rPr>
        <w:t>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pPr>
        <w:pStyle w:val="Normal"/>
        <w:rPr/>
      </w:pPr>
      <w:r>
        <w:rPr>
          <w:rStyle w:val="S0"/>
          <w:rFonts w:eastAsia="Times New Roman" w:cs="Times New Roman"/>
          <w:b w:val="false"/>
          <w:bCs w:val="false"/>
          <w:color w:val="000000"/>
          <w:sz w:val="24"/>
          <w:szCs w:val="24"/>
          <w:u w:val="none"/>
          <w:lang w:val="ru-RU" w:eastAsia="zh-CN" w:bidi="ar-SA"/>
        </w:rPr>
        <w:t>19.</w:t>
      </w:r>
      <w:r>
        <w:rPr>
          <w:rFonts w:eastAsia="Times New Roman" w:cs="Times New Roman"/>
          <w:b w:val="false"/>
          <w:bCs w:val="false"/>
          <w:sz w:val="24"/>
          <w:szCs w:val="24"/>
          <w:u w:val="none"/>
          <w:lang w:val="ru-RU" w:eastAsia="zh-CN" w:bidi="ar-SA"/>
        </w:rPr>
        <w:t>2. К закупаемой медицинской технике предъявляются следующие требования:</w:t>
      </w:r>
    </w:p>
    <w:p>
      <w:pPr>
        <w:pStyle w:val="Normal"/>
        <w:rPr>
          <w:rFonts w:ascii="Times New Roman" w:hAnsi="Times New Roman"/>
          <w:sz w:val="24"/>
          <w:szCs w:val="24"/>
        </w:rPr>
      </w:pPr>
      <w:bookmarkStart w:id="112" w:name="z189"/>
      <w:bookmarkEnd w:id="112"/>
      <w:r>
        <w:rPr>
          <w:sz w:val="24"/>
          <w:szCs w:val="24"/>
        </w:rPr>
        <w:t>1) наличие регистрации медицинской техники в Республике Казахстан или заключения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rPr>
          <w:rFonts w:ascii="Times New Roman" w:hAnsi="Times New Roman"/>
          <w:sz w:val="24"/>
          <w:szCs w:val="24"/>
        </w:rPr>
      </w:pPr>
      <w:r>
        <w:rPr>
          <w:sz w:val="24"/>
          <w:szCs w:val="24"/>
        </w:rPr>
        <w:t>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w:t>
      </w:r>
    </w:p>
    <w:p>
      <w:pPr>
        <w:pStyle w:val="Normal"/>
        <w:rPr>
          <w:rFonts w:ascii="Times New Roman" w:hAnsi="Times New Roman"/>
          <w:sz w:val="24"/>
          <w:szCs w:val="24"/>
        </w:rPr>
      </w:pPr>
      <w:bookmarkStart w:id="113" w:name="z1901"/>
      <w:bookmarkStart w:id="114" w:name="z191"/>
      <w:bookmarkEnd w:id="113"/>
      <w:bookmarkEnd w:id="114"/>
      <w:r>
        <w:rPr>
          <w:sz w:val="24"/>
          <w:szCs w:val="24"/>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 в области здравоохранения;</w:t>
      </w:r>
    </w:p>
    <w:p>
      <w:pPr>
        <w:pStyle w:val="Normal"/>
        <w:rPr>
          <w:rFonts w:ascii="Times New Roman" w:hAnsi="Times New Roman"/>
          <w:sz w:val="24"/>
          <w:szCs w:val="24"/>
        </w:rPr>
      </w:pPr>
      <w:bookmarkStart w:id="115" w:name="z1911"/>
      <w:bookmarkStart w:id="116" w:name="z192"/>
      <w:bookmarkEnd w:id="115"/>
      <w:bookmarkEnd w:id="116"/>
      <w:r>
        <w:rPr>
          <w:sz w:val="24"/>
          <w:szCs w:val="24"/>
        </w:rPr>
        <w:t>4) медицинская техника является новой, ранее неиспользованной, произведенной в период двадцати четырех месяцев, предшествующих моменту поставки;</w:t>
      </w:r>
    </w:p>
    <w:p>
      <w:pPr>
        <w:pStyle w:val="Normal"/>
        <w:rPr>
          <w:rFonts w:ascii="Times New Roman" w:hAnsi="Times New Roman"/>
          <w:sz w:val="24"/>
          <w:szCs w:val="24"/>
        </w:rPr>
      </w:pPr>
      <w:bookmarkStart w:id="117" w:name="z193"/>
      <w:bookmarkStart w:id="118" w:name="z1921"/>
      <w:bookmarkEnd w:id="118"/>
      <w:r>
        <w:rPr>
          <w:sz w:val="24"/>
          <w:szCs w:val="24"/>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bookmarkStart w:id="119" w:name="z194"/>
      <w:bookmarkEnd w:id="117"/>
    </w:p>
    <w:p>
      <w:pPr>
        <w:pStyle w:val="Normal"/>
        <w:rPr/>
      </w:pPr>
      <w:r>
        <w:rPr>
          <w:sz w:val="24"/>
          <w:szCs w:val="24"/>
        </w:rPr>
        <w:t>6) передвижной комплекс зарегистрирован в Республике Казахстан как единый комплекс, состоящий из специального автотранспорта, медицинской техники, изделий медицинского назначения.</w:t>
      </w:r>
      <w:bookmarkEnd w:id="119"/>
    </w:p>
    <w:sectPr>
      <w:type w:val="nextPage"/>
      <w:pgSz w:w="11906" w:h="16838"/>
      <w:pgMar w:left="1701" w:right="567" w:header="0"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imes New Roman CYR">
    <w:charset w:val="01"/>
    <w:family w:val="roman"/>
    <w:pitch w:val="variable"/>
  </w:font>
  <w:font w:name="DejaVuSerifCondensed">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49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0"/>
        <w:szCs w:val="24"/>
        <w:lang w:val="ru-RU" w:eastAsia="zh-CN" w:bidi="hi-IN"/>
      </w:rPr>
    </w:rPrDefault>
    <w:pPrDefault>
      <w:pPr/>
    </w:pPrDefault>
  </w:docDefaults>
  <w:style w:type="paragraph" w:styleId="Normal">
    <w:name w:val="Normal"/>
    <w:qFormat/>
    <w:pPr>
      <w:widowControl/>
      <w:suppressAutoHyphens w:val="true"/>
      <w:bidi w:val="0"/>
      <w:ind w:left="0" w:right="0" w:firstLine="567"/>
      <w:jc w:val="both"/>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3">
    <w:name w:val="Heading 3"/>
    <w:basedOn w:val="Normal"/>
    <w:next w:val="Normal"/>
    <w:qFormat/>
    <w:pPr>
      <w:keepNext w:val="true"/>
      <w:numPr>
        <w:ilvl w:val="2"/>
        <w:numId w:val="1"/>
      </w:numPr>
      <w:spacing w:before="240" w:after="60"/>
      <w:jc w:val="center"/>
      <w:outlineLvl w:val="2"/>
    </w:pPr>
    <w:rPr>
      <w:rFonts w:ascii="Arial" w:hAnsi="Arial" w:eastAsia="Times New Roman" w:cs="Times New Roman"/>
      <w:b/>
      <w:bCs/>
      <w:i w:val="false"/>
      <w:iCs w:val="false"/>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b w:val="false"/>
    </w:rPr>
  </w:style>
  <w:style w:type="character" w:styleId="WW8Num4z0">
    <w:name w:val="WW8Num4z0"/>
    <w:qFormat/>
    <w:rPr/>
  </w:style>
  <w:style w:type="character" w:styleId="WW8Num5z0">
    <w:name w:val="WW8Num5z0"/>
    <w:qFormat/>
    <w:rPr>
      <w:b w:val="false"/>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i w:val="fal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z w:val="28"/>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i w:val="false"/>
      <w:sz w:val="28"/>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CYR" w:hAnsi="Times New Roman CYR" w:cs="Times New Roman CYR"/>
      <w:b w:val="false"/>
      <w:i w:val="false"/>
      <w:sz w:val="24"/>
      <w:szCs w:val="24"/>
      <w:u w:val="none"/>
    </w:rPr>
  </w:style>
  <w:style w:type="character" w:styleId="WW8Num10z0">
    <w:name w:val="WW8Num10z0"/>
    <w:qFormat/>
    <w:rPr>
      <w:b w:val="false"/>
      <w:bCs w:val="false"/>
      <w:sz w:val="28"/>
      <w:szCs w:val="28"/>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val="false"/>
      <w:bCs w:val="false"/>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color w:val="000000"/>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val="false"/>
      <w:i w:val="false"/>
      <w:sz w:val="28"/>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DejaVuSerifCondensed" w:hAnsi="DejaVuSerifCondensed" w:cs="DejaVuSerifCondensed"/>
      <w:sz w:val="20"/>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eastAsia="Times New Roman" w:cs="Times New Roman"/>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2z0">
    <w:name w:val="WW8Num22z0"/>
    <w:qFormat/>
    <w:rPr>
      <w:b w:val="false"/>
      <w:color w:val="000000"/>
    </w:rPr>
  </w:style>
  <w:style w:type="character" w:styleId="WW8Num22z1">
    <w:name w:val="WW8Num22z1"/>
    <w:qFormat/>
    <w:rPr>
      <w:rFonts w:ascii="Times New Roman" w:hAnsi="Times New Roman" w:cs="Times New Roman"/>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b w:val="false"/>
      <w:bCs w:val="false"/>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b w:val="false"/>
      <w:i w:val="false"/>
      <w:sz w:val="28"/>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b w:val="false"/>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i w:val="false"/>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Style12">
    <w:name w:val="Основной шрифт абзаца"/>
    <w:qFormat/>
    <w:rPr/>
  </w:style>
  <w:style w:type="character" w:styleId="InternetLink">
    <w:name w:val="Internet Link"/>
    <w:basedOn w:val="Style12"/>
    <w:qFormat/>
    <w:rPr>
      <w:color w:val="0000FF"/>
      <w:u w:val="single"/>
    </w:rPr>
  </w:style>
  <w:style w:type="character" w:styleId="Style13">
    <w:name w:val="Номер страницы"/>
    <w:basedOn w:val="Style12"/>
    <w:qFormat/>
    <w:rPr/>
  </w:style>
  <w:style w:type="character" w:styleId="Style14">
    <w:name w:val=" Знак"/>
    <w:basedOn w:val="Style12"/>
    <w:qFormat/>
    <w:rPr>
      <w:sz w:val="24"/>
      <w:szCs w:val="24"/>
      <w:lang w:val="ru-RU" w:bidi="ar-SA"/>
    </w:rPr>
  </w:style>
  <w:style w:type="character" w:styleId="S0">
    <w:name w:val="s0"/>
    <w:basedOn w:val="Style12"/>
    <w:qFormat/>
    <w:rPr>
      <w:rFonts w:ascii="Times New Roman" w:hAnsi="Times New Roman" w:cs="Times New Roman"/>
      <w:b w:val="false"/>
      <w:bCs w:val="false"/>
      <w:i w:val="false"/>
      <w:iCs w:val="false"/>
      <w:color w:val="000000"/>
    </w:rPr>
  </w:style>
  <w:style w:type="character" w:styleId="S1">
    <w:name w:val="s1"/>
    <w:basedOn w:val="Style12"/>
    <w:qFormat/>
    <w:rPr>
      <w:rFonts w:ascii="Times New Roman" w:hAnsi="Times New Roman" w:cs="Times New Roman"/>
      <w:b/>
      <w:bCs/>
      <w:color w:val="000000"/>
    </w:rPr>
  </w:style>
  <w:style w:type="character" w:styleId="S19">
    <w:name w:val="s19"/>
    <w:qFormat/>
    <w:rPr>
      <w:rFonts w:ascii="Times New Roman" w:hAnsi="Times New Roman" w:cs="Times New Roman"/>
      <w:color w:val="008000"/>
    </w:rPr>
  </w:style>
  <w:style w:type="character" w:styleId="Style15">
    <w:name w:val="Обычный (веб) Знак"/>
    <w:qFormat/>
    <w:rPr>
      <w:sz w:val="24"/>
      <w:szCs w:val="24"/>
    </w:rPr>
  </w:style>
  <w:style w:type="character" w:styleId="1">
    <w:name w:val="Заголовок 1 Знак"/>
    <w:basedOn w:val="Style12"/>
    <w:qFormat/>
    <w:rPr>
      <w:rFonts w:ascii="Cambria" w:hAnsi="Cambria" w:cs="Cambria"/>
      <w:b/>
      <w:bCs/>
      <w:kern w:val="2"/>
      <w:sz w:val="32"/>
      <w:szCs w:val="32"/>
    </w:rPr>
  </w:style>
  <w:style w:type="character" w:styleId="3">
    <w:name w:val="Заголовок 3 Знак"/>
    <w:basedOn w:val="Style12"/>
    <w:qFormat/>
    <w:rPr>
      <w:rFonts w:ascii="Cambria" w:hAnsi="Cambria" w:eastAsia="Times New Roman" w:cs="Times New Roman"/>
      <w:b/>
      <w:bCs/>
      <w:sz w:val="26"/>
      <w:szCs w:val="26"/>
    </w:rPr>
  </w:style>
  <w:style w:type="character" w:styleId="Style16">
    <w:name w:val="Статья Знак"/>
    <w:qFormat/>
    <w:rPr>
      <w:rFonts w:ascii="Arial" w:hAnsi="Arial" w:cs="Arial"/>
      <w:sz w:val="24"/>
      <w:szCs w:val="24"/>
      <w:lang w:val="ru-RU"/>
    </w:rPr>
  </w:style>
  <w:style w:type="character" w:styleId="Appleconvertedspace">
    <w:name w:val="apple-converted-space"/>
    <w:basedOn w:val="Style12"/>
    <w:qFormat/>
    <w:rPr/>
  </w:style>
  <w:style w:type="character" w:styleId="Style17">
    <w:name w:val="Верхний колонтитул Знак"/>
    <w:basedOn w:val="Style12"/>
    <w:qFormat/>
    <w:rPr>
      <w:sz w:val="24"/>
      <w:szCs w:val="24"/>
    </w:rPr>
  </w:style>
  <w:style w:type="character" w:styleId="A">
    <w:name w:val="a"/>
    <w:basedOn w:val="Style12"/>
    <w:qFormat/>
    <w:rPr>
      <w:color w:val="333399"/>
      <w:u w:val="single"/>
    </w:rPr>
  </w:style>
  <w:style w:type="character" w:styleId="S2">
    <w:name w:val="s2"/>
    <w:basedOn w:val="Style12"/>
    <w:qFormat/>
    <w:rPr>
      <w:rFonts w:ascii="Times New Roman" w:hAnsi="Times New Roman" w:cs="Times New Roman"/>
      <w:color w:val="333399"/>
      <w:u w:val="single"/>
    </w:rPr>
  </w:style>
  <w:style w:type="character" w:styleId="ListLabel1">
    <w:name w:val="ListLabel 1"/>
    <w:qFormat/>
    <w:rPr>
      <w:b w:val="false"/>
    </w:rPr>
  </w:style>
  <w:style w:type="character" w:styleId="Style18">
    <w:name w:val="Интернет-ссылка"/>
    <w:qFormat/>
    <w:rPr>
      <w:color w:val="000080"/>
      <w:u w:val="single"/>
      <w:lang w:val="zxx" w:eastAsia="zxx" w:bidi="zxx"/>
    </w:rPr>
  </w:style>
  <w:style w:type="character" w:styleId="ListLabel2">
    <w:name w:val="ListLabel 2"/>
    <w:qFormat/>
    <w:rPr>
      <w:rFonts w:ascii="Times New Roman" w:hAnsi="Times New Roman"/>
      <w:sz w:val="24"/>
      <w:szCs w:val="24"/>
    </w:rPr>
  </w:style>
  <w:style w:type="character" w:styleId="ListLabel3">
    <w:name w:val="ListLabel 3"/>
    <w:qFormat/>
    <w:rPr>
      <w:rFonts w:ascii="Times New Roman" w:hAnsi="Times New Roman"/>
      <w:color w:val="000000"/>
      <w:sz w:val="24"/>
      <w:szCs w:val="24"/>
    </w:rPr>
  </w:style>
  <w:style w:type="character" w:styleId="ListLabel4">
    <w:name w:val="ListLabel 4"/>
    <w:qFormat/>
    <w:rPr>
      <w:rFonts w:ascii="Times New Roman" w:hAnsi="Times New Roman"/>
      <w:sz w:val="24"/>
      <w:szCs w:val="2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tabs>
        <w:tab w:val="clear" w:pos="490"/>
        <w:tab w:val="left" w:pos="0" w:leader="none"/>
      </w:tabs>
      <w:jc w:val="both"/>
    </w:pPr>
    <w:rPr>
      <w:sz w:val="28"/>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9">
    <w:name w:val="Заголовок"/>
    <w:basedOn w:val="Normal"/>
    <w:next w:val="TextBody"/>
    <w:qFormat/>
    <w:pPr>
      <w:keepNext w:val="true"/>
      <w:spacing w:before="240" w:after="120"/>
    </w:pPr>
    <w:rPr>
      <w:rFonts w:ascii="Liberation Sans;Arial" w:hAnsi="Liberation Sans;Arial" w:eastAsia="Noto Sans CJK SC Regular" w:cs="Lohit Devanagari"/>
      <w:sz w:val="28"/>
      <w:szCs w:val="28"/>
    </w:rPr>
  </w:style>
  <w:style w:type="paragraph" w:styleId="Style20">
    <w:name w:val="Указатель"/>
    <w:basedOn w:val="Normal"/>
    <w:qFormat/>
    <w:pPr>
      <w:suppressLineNumbers/>
    </w:pPr>
    <w:rPr>
      <w:rFonts w:cs="Lohit Devanagari"/>
    </w:rPr>
  </w:style>
  <w:style w:type="paragraph" w:styleId="Style21">
    <w:name w:val="Обычный (веб)"/>
    <w:basedOn w:val="Normal"/>
    <w:qFormat/>
    <w:pPr>
      <w:spacing w:before="100" w:after="100"/>
    </w:pPr>
    <w:rPr>
      <w:lang w:val="ru-RU"/>
    </w:rPr>
  </w:style>
  <w:style w:type="paragraph" w:styleId="Iauiue">
    <w:name w:val="Iau?iue"/>
    <w:qFormat/>
    <w:pPr>
      <w:widowControl w:val="false"/>
      <w:suppressAutoHyphens w:val="true"/>
      <w:bidi w:val="0"/>
      <w:jc w:val="left"/>
    </w:pPr>
    <w:rPr>
      <w:rFonts w:ascii="Times New Roman" w:hAnsi="Times New Roman" w:eastAsia="Times New Roman" w:cs="Times New Roman"/>
      <w:color w:val="auto"/>
      <w:kern w:val="0"/>
      <w:sz w:val="20"/>
      <w:szCs w:val="20"/>
      <w:lang w:val="ru-RU" w:eastAsia="zh-CN" w:bidi="ar-SA"/>
    </w:rPr>
  </w:style>
  <w:style w:type="paragraph" w:styleId="Footer">
    <w:name w:val="Footer"/>
    <w:basedOn w:val="Normal"/>
    <w:pPr>
      <w:tabs>
        <w:tab w:val="clear" w:pos="490"/>
        <w:tab w:val="center" w:pos="4677" w:leader="none"/>
        <w:tab w:val="right" w:pos="9355" w:leader="none"/>
      </w:tabs>
    </w:pPr>
    <w:rPr/>
  </w:style>
  <w:style w:type="paragraph" w:styleId="Style22">
    <w:name w:val="Нумерованный список"/>
    <w:basedOn w:val="Normal"/>
    <w:qFormat/>
    <w:pPr/>
    <w:rPr/>
  </w:style>
  <w:style w:type="paragraph" w:styleId="Style23">
    <w:name w:val="Абзац списка"/>
    <w:basedOn w:val="Normal"/>
    <w:qFormat/>
    <w:pPr>
      <w:spacing w:lineRule="auto" w:line="276" w:before="0" w:after="200"/>
      <w:ind w:left="720" w:right="0" w:hanging="0"/>
    </w:pPr>
    <w:rPr>
      <w:rFonts w:ascii="Calibri" w:hAnsi="Calibri" w:cs="Calibri"/>
      <w:sz w:val="28"/>
      <w:szCs w:val="28"/>
    </w:rPr>
  </w:style>
  <w:style w:type="paragraph" w:styleId="Style24">
    <w:name w:val="Статья"/>
    <w:basedOn w:val="Normal"/>
    <w:qFormat/>
    <w:pPr>
      <w:widowControl w:val="false"/>
      <w:tabs>
        <w:tab w:val="clear" w:pos="490"/>
        <w:tab w:val="left" w:pos="0" w:leader="none"/>
        <w:tab w:val="left" w:pos="993" w:leader="none"/>
      </w:tabs>
      <w:jc w:val="both"/>
    </w:pPr>
    <w:rPr>
      <w:rFonts w:ascii="Arial" w:hAnsi="Arial" w:cs="Arial"/>
      <w:lang w:val="ru-RU"/>
    </w:rPr>
  </w:style>
  <w:style w:type="paragraph" w:styleId="J16">
    <w:name w:val="j16"/>
    <w:basedOn w:val="Normal"/>
    <w:qFormat/>
    <w:pPr>
      <w:spacing w:before="100" w:after="100"/>
    </w:pPr>
    <w:rPr/>
  </w:style>
  <w:style w:type="paragraph" w:styleId="J13">
    <w:name w:val="j13"/>
    <w:basedOn w:val="Normal"/>
    <w:qFormat/>
    <w:pPr>
      <w:spacing w:before="100" w:after="100"/>
    </w:pPr>
    <w:rPr/>
  </w:style>
  <w:style w:type="paragraph" w:styleId="J15">
    <w:name w:val="j15"/>
    <w:basedOn w:val="Normal"/>
    <w:qFormat/>
    <w:pPr>
      <w:spacing w:before="100" w:after="100"/>
    </w:pPr>
    <w:rPr/>
  </w:style>
  <w:style w:type="paragraph" w:styleId="Header">
    <w:name w:val="Header"/>
    <w:basedOn w:val="Normal"/>
    <w:pPr>
      <w:tabs>
        <w:tab w:val="clear" w:pos="490"/>
        <w:tab w:val="center" w:pos="4677" w:leader="none"/>
        <w:tab w:val="right" w:pos="9355" w:leader="none"/>
      </w:tabs>
    </w:pPr>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Normal_x005F_x005F_x005F_x005F_x005F_x005F_x005F_x0000_</Template>
  <TotalTime>7627</TotalTime>
  <Application>LibreOffice/6.2.6.2$Linux_X86_64 LibreOffice_project/20$Build-2</Application>
  <Pages>13</Pages>
  <Words>5080</Words>
  <Characters>38364</Characters>
  <CharactersWithSpaces>43361</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2008-01-22T14:47:00Z</dcterms:created>
  <dc:creator>User</dc:creator>
  <dc:description/>
  <dc:language>ru-RU</dc:language>
  <cp:lastModifiedBy/>
  <cp:lastPrinted>2019-06-05T11:11:44Z</cp:lastPrinted>
  <dcterms:modified xsi:type="dcterms:W3CDTF">2019-08-21T14:06:10Z</dcterms:modified>
  <cp:revision>1009</cp:revision>
  <dc:subject/>
  <dc:title>Приложение 3</dc:title>
</cp:coreProperties>
</file>