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5"/>
        <w:tabs>
          <w:tab w:val="clear" w:pos="708"/>
          <w:tab w:val="left" w:pos="3969" w:leader="none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Приложение 1 </w:t>
      </w:r>
    </w:p>
    <w:p>
      <w:pPr>
        <w:pStyle w:val="15"/>
        <w:tabs>
          <w:tab w:val="clear" w:pos="708"/>
          <w:tab w:val="left" w:pos="3969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3"/>
        <w:numPr>
          <w:ilvl w:val="2"/>
          <w:numId w:val="3"/>
        </w:numPr>
        <w:tabs>
          <w:tab w:val="clear" w:pos="708"/>
          <w:tab w:val="left" w:pos="3969" w:leader="none"/>
        </w:tabs>
        <w:jc w:val="center"/>
        <w:rPr/>
      </w:pPr>
      <w:r>
        <w:rPr>
          <w:rStyle w:val="S0"/>
          <w:rFonts w:eastAsia="Times New Roman" w:ascii="Times New Roman" w:hAnsi="Times New Roman"/>
          <w:b/>
          <w:bCs/>
          <w:sz w:val="24"/>
          <w:szCs w:val="24"/>
          <w:lang w:val="ru-RU" w:eastAsia="zh-CN" w:bidi="ar-SA"/>
        </w:rPr>
        <w:t xml:space="preserve">Технические и качественные характеристики закупаемых товаров, включая технические спецификации </w:t>
      </w:r>
    </w:p>
    <w:p>
      <w:pPr>
        <w:pStyle w:val="15"/>
        <w:tabs>
          <w:tab w:val="clear" w:pos="708"/>
          <w:tab w:val="left" w:pos="3969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5"/>
        <w:tabs>
          <w:tab w:val="clear" w:pos="708"/>
          <w:tab w:val="left" w:pos="3969" w:leader="none"/>
        </w:tabs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Техническаая спецификация Лот №1</w:t>
      </w:r>
    </w:p>
    <w:p>
      <w:pPr>
        <w:pStyle w:val="15"/>
        <w:tabs>
          <w:tab w:val="clear" w:pos="708"/>
          <w:tab w:val="left" w:pos="3969" w:leader="none"/>
        </w:tabs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1"/>
        <w:gridCol w:w="1426"/>
        <w:gridCol w:w="355"/>
        <w:gridCol w:w="1518"/>
        <w:gridCol w:w="5086"/>
        <w:gridCol w:w="811"/>
      </w:tblGrid>
      <w:tr>
        <w:trPr>
          <w:trHeight w:val="409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 xml:space="preserve">№ </w:t>
            </w:r>
            <w:r>
              <w:rPr>
                <w:rFonts w:cs="" w:ascii="Times" w:hAnsi="Times" w:cstheme="minorHAnsi"/>
                <w:b/>
                <w:sz w:val="24"/>
                <w:szCs w:val="24"/>
              </w:rPr>
              <w:t>п/п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Критерии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</w:tabs>
              <w:ind w:right="-108" w:hanging="0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Наименование медицинской техники (далее – МТ)</w:t>
            </w:r>
          </w:p>
          <w:p>
            <w:pPr>
              <w:pStyle w:val="Normal"/>
              <w:tabs>
                <w:tab w:val="clear" w:pos="708"/>
                <w:tab w:val="left" w:pos="450" w:leader="none"/>
              </w:tabs>
              <w:ind w:right="-108" w:hanging="0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" w:ascii="Times" w:hAnsi="Times" w:cstheme="minorHAnsi"/>
                <w:b/>
                <w:bCs/>
                <w:color w:val="000000"/>
                <w:sz w:val="24"/>
                <w:szCs w:val="24"/>
                <w:shd w:fill="FFFFFF" w:val="clear"/>
              </w:rPr>
              <w:t>Аппарат для ингаляционной терапии (физиокабинет)</w:t>
            </w:r>
          </w:p>
        </w:tc>
      </w:tr>
      <w:tr>
        <w:trPr>
          <w:trHeight w:val="47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</w:tabs>
              <w:ind w:right="-108" w:hanging="0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 xml:space="preserve">Наименование МТ, относящейся к средствам измерения </w:t>
            </w:r>
            <w:r>
              <w:rPr>
                <w:rFonts w:cs="" w:ascii="Times" w:hAnsi="Times" w:cstheme="minorHAnsi"/>
                <w:sz w:val="24"/>
                <w:szCs w:val="24"/>
              </w:rPr>
              <w:t>(</w:t>
            </w:r>
            <w:r>
              <w:rPr>
                <w:rFonts w:cs="" w:ascii="Times" w:hAnsi="Times" w:cstheme="minorHAnsi"/>
                <w:i/>
                <w:sz w:val="24"/>
                <w:szCs w:val="24"/>
              </w:rPr>
              <w:t>с указанием модели, наименования производителя, страны)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200" w:after="0"/>
              <w:ind w:hanging="0"/>
              <w:jc w:val="left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cs="" w:ascii="Times" w:hAnsi="Times" w:cstheme="minorHAnsi"/>
                <w:color w:val="000000"/>
                <w:sz w:val="24"/>
                <w:szCs w:val="24"/>
              </w:rPr>
              <w:t>Не является средством измерения</w:t>
            </w:r>
          </w:p>
        </w:tc>
      </w:tr>
      <w:tr>
        <w:trPr>
          <w:trHeight w:val="611" w:hRule="atLeast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№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п/п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Наименование комплектующего к МТ (в соответствии с государственным реестром МТ)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Техническая характеристика комплектующего к МТ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Требуемое количество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 w:cs="" w:cstheme="minorHAnsi"/>
                <w:b/>
                <w:b/>
                <w:sz w:val="24"/>
                <w:szCs w:val="24"/>
              </w:rPr>
            </w:pPr>
            <w:r>
              <w:rPr>
                <w:rFonts w:cs="" w:cstheme="minorHAnsi" w:ascii="Times" w:hAnsi="Times"/>
                <w:b/>
                <w:sz w:val="24"/>
                <w:szCs w:val="24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 w:cs="" w:cstheme="minorHAnsi"/>
                <w:b/>
                <w:b/>
                <w:sz w:val="24"/>
                <w:szCs w:val="24"/>
              </w:rPr>
            </w:pPr>
            <w:r>
              <w:rPr>
                <w:rFonts w:cs="" w:cstheme="minorHAnsi" w:ascii="Times" w:hAnsi="Times"/>
                <w:b/>
                <w:sz w:val="24"/>
                <w:szCs w:val="24"/>
              </w:rPr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Основная комплектация</w:t>
            </w:r>
            <w:r>
              <w:rPr>
                <w:rFonts w:cs="" w:ascii="Times" w:hAnsi="Times" w:cstheme="minorHAnsi"/>
                <w:i/>
                <w:sz w:val="24"/>
                <w:szCs w:val="24"/>
                <w:lang w:val="en-US"/>
              </w:rPr>
              <w:t>:</w:t>
            </w:r>
          </w:p>
        </w:tc>
      </w:tr>
      <w:tr>
        <w:trPr>
          <w:trHeight w:val="141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 w:cs="" w:cstheme="minorHAnsi"/>
                <w:b/>
                <w:b/>
                <w:sz w:val="24"/>
                <w:szCs w:val="24"/>
              </w:rPr>
            </w:pPr>
            <w:r>
              <w:rPr>
                <w:rFonts w:cs="" w:cstheme="minorHAnsi" w:ascii="Times" w:hAnsi="Times"/>
                <w:b/>
                <w:sz w:val="24"/>
                <w:szCs w:val="24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 w:cs="" w:cstheme="minorHAnsi"/>
                <w:b/>
                <w:b/>
                <w:sz w:val="24"/>
                <w:szCs w:val="24"/>
              </w:rPr>
            </w:pPr>
            <w:r>
              <w:rPr>
                <w:rFonts w:cs="" w:cstheme="minorHAnsi" w:ascii="Times" w:hAnsi="Times"/>
                <w:b/>
                <w:sz w:val="24"/>
                <w:szCs w:val="24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sz w:val="24"/>
                <w:szCs w:val="24"/>
              </w:rPr>
              <w:t>Аппарат для ингаляционной терапии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Многофункциональный комплекс для лечения лор-заболеваний представляет собой устройство, сочетающее в себе функции настенного распылителя, инфракрасного излучателя, ИК-лазерного излучателя и тимпанального стимулятора.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Наличие настенного ингалятора.  Настенный ингалятор обеспечивает распыление мельчайших частиц лекарств, 0,5~5 мкм, для ингаляции легких. Это применяется при лечении различных заболеваний, например, астмы, хронической обструктивной болезни легких (ХОБЛ), аллергическом рините, простуды и общих заболеваниях органов дыхания. Наличие инфракрасного излучателя. Инфракрасный излучатель генерирует тепло, которым облучают внутреннее ухо. Это способствует обезболиванию, заживлению ран, дезинфекции и восстановлению функции нервов. Наличие инфракрасного лазерного излучателя. Инфракрасный лазерный излучатель генерирует излучение, имеющее длину волны 650 нм, которое исходит из нижнего элемента устройства, имеющего мощность 5 мВт. Применения на пораженных заболеванием участках носа и ушей для активации клеточного обмена и уменьшения адгезии крови, что способствует повышению иммунитета, и, как следствие, излечению заболевания. Наличие тимпанального стимулятора. Тимпанального стимулятора обеспечивает подачу регулярного/нерегулярного потока воздуха на поверхность барабанной перепонки для ее вибрации. Это способствует выходу слизисто-гнойных веществ, образующихся в среднем ухе при остром тимпаните, эффузивном тимпаните, в верхнюю полость носа через евстахиеву трубу. Такое воздействие улучшает кинетические показатели барабанной перепонки и евстахиевой трубы и способствует излечению пациентов, страдающих от тимпанита.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Техническая характеристика аппарата: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 xml:space="preserve">Наличие сенсорной панели с управлением включения/выключения. Наличие индикации времени процедуры настенного распылителя, инфракрасного излучателя, ИК-лазерного излучателя и тимпанального стимулятора. На цифровом дисплее отображается время процедуры в минутах с первой до тридцатой. Заводская установка продолжительности времени процедуры –  три минуты. Наличие двух регуляторов скорости для тимпанального стимулятора.  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Номинальное напряжение и частота комплекса: 220В переменного тока, 50/60 Гц;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Потребляемая мощность комплекса: 226 Вт +/- 10%;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 xml:space="preserve">Габариты комплекса: 560(Ш) x 179(Д) x 440(В); 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Вес комплекса: 15 кг;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Настенный распылитель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Скорость распыления: 0.1 мл/мин.;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Мощность воздушного компрессора: 1.3 килограмм-сил на квадратный сантиметр;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Таймер: 1~ 30 мин.;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Предохранитель и напряжение: 250В AC, 4 A;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Инфракрасный излучатель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Таймер: 1~ 30 мин.;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Мощность инфракрасного излучения: 3.0 мВт/мин на см2 при измеренном интегральном значении 900~1,700;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Инфракрасный лазерный излучатель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Мощность лазера: 2.3 мВт (+/-10%);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Тип лазера: диодный лазер;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Длина волны: 655 нм (+/-5);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 xml:space="preserve">Диаметр лазерного пучка 5x2мм и 0.5 Div. Мрад; 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Наличие зондов: 2;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Зонды: ушной зонд, носовой зонд;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Тимпанальный стимулятор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Частота вибраций: 100 об. /мин.,   700 об. /мин;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Таймер: 1~ 5 минут;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 xml:space="preserve">Давление воздушного потока: 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 xml:space="preserve">1-й шаг: 2.5 кПа; 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2-й шаг: 3.5 кПа;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 xml:space="preserve">3-й шаг: 4.5 кПа; 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4-й шаг: 5.5 кПа;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 xml:space="preserve">5-й шаг: 7.0 кПа; 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eastAsia="Malgun Gothic" w:cs="" w:ascii="Times" w:hAnsi="Times" w:cstheme="minorHAnsi"/>
                <w:sz w:val="24"/>
                <w:szCs w:val="24"/>
              </w:rPr>
              <w:t>6-й шаг: 9.5 кПа;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sz w:val="24"/>
                <w:szCs w:val="24"/>
                <w:lang w:eastAsia="en-US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50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sz w:val="24"/>
                <w:szCs w:val="24"/>
              </w:rPr>
              <w:t>Располагать оборудование вдали от мест с сильной вибрацией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sz w:val="24"/>
                <w:szCs w:val="24"/>
              </w:rPr>
              <w:t>Температура 10</w:t>
            </w:r>
            <w:r>
              <w:rPr>
                <w:rFonts w:eastAsia="Kino MT" w:cs="Kino MT" w:ascii="Times" w:hAnsi="Times"/>
                <w:sz w:val="24"/>
                <w:szCs w:val="24"/>
              </w:rPr>
              <w:t>°</w:t>
            </w:r>
            <w:r>
              <w:rPr>
                <w:rFonts w:cs="" w:ascii="Times" w:hAnsi="Times" w:cstheme="minorHAnsi"/>
                <w:sz w:val="24"/>
                <w:szCs w:val="24"/>
              </w:rPr>
              <w:t>C ~ 40</w:t>
            </w:r>
            <w:r>
              <w:rPr>
                <w:rFonts w:eastAsia="Kino MT" w:cs="Kino MT" w:ascii="Times" w:hAnsi="Times"/>
                <w:sz w:val="24"/>
                <w:szCs w:val="24"/>
              </w:rPr>
              <w:t>°</w:t>
            </w:r>
            <w:r>
              <w:rPr>
                <w:rFonts w:cs="" w:ascii="Times" w:hAnsi="Times" w:cstheme="minorHAnsi"/>
                <w:sz w:val="24"/>
                <w:szCs w:val="24"/>
              </w:rPr>
              <w:t>C  (50</w:t>
            </w:r>
            <w:r>
              <w:rPr>
                <w:rFonts w:cs="" w:ascii="Times" w:hAnsi="Times" w:cstheme="minorHAnsi"/>
                <w:sz w:val="24"/>
                <w:szCs w:val="24"/>
                <w:vertAlign w:val="superscript"/>
              </w:rPr>
              <w:t>о</w:t>
            </w:r>
            <w:r>
              <w:rPr>
                <w:rFonts w:cs="" w:ascii="Times" w:hAnsi="Times" w:cstheme="minorHAnsi"/>
                <w:sz w:val="24"/>
                <w:szCs w:val="24"/>
              </w:rPr>
              <w:t xml:space="preserve"> ~ 104</w:t>
            </w:r>
            <w:r>
              <w:rPr>
                <w:rFonts w:cs="Cambria Math" w:ascii="Times" w:hAnsi="Times"/>
                <w:sz w:val="24"/>
                <w:szCs w:val="24"/>
              </w:rPr>
              <w:t>℉</w:t>
            </w:r>
            <w:r>
              <w:rPr>
                <w:rFonts w:cs="" w:ascii="Times" w:hAnsi="Times" w:cstheme="minorHAnsi"/>
                <w:sz w:val="24"/>
                <w:szCs w:val="24"/>
              </w:rPr>
              <w:t xml:space="preserve">) Влажность 30% ~ 75%. </w:t>
            </w:r>
          </w:p>
        </w:tc>
      </w:tr>
      <w:tr>
        <w:trPr>
          <w:trHeight w:val="47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 xml:space="preserve">Условия осуществления поставки МТ </w:t>
            </w:r>
          </w:p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i/>
                <w:sz w:val="24"/>
                <w:szCs w:val="24"/>
              </w:rPr>
              <w:t>(в соответствии с ИНКОТЕРМС 2010)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sz w:val="24"/>
                <w:szCs w:val="24"/>
                <w:lang w:val="en-US"/>
              </w:rPr>
              <w:t>DDP ВКО, Бородулихинский район, с.Жезкент, ул. КазССР,12</w:t>
            </w:r>
          </w:p>
        </w:tc>
      </w:tr>
      <w:tr>
        <w:trPr>
          <w:trHeight w:val="470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 xml:space="preserve">Срок поставки МТ и место дислокации 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sz w:val="24"/>
                <w:szCs w:val="24"/>
                <w:lang w:val="kk-KZ"/>
              </w:rPr>
              <w:t xml:space="preserve">60 </w:t>
            </w:r>
            <w:r>
              <w:rPr>
                <w:rFonts w:cs="" w:ascii="Times" w:hAnsi="Times" w:cstheme="minorHAnsi"/>
                <w:sz w:val="24"/>
                <w:szCs w:val="24"/>
              </w:rPr>
              <w:t>календарных дней со дня подписания договора, ВКО, Бородулихинский район, с.Жезкент, ул. КазССР,12. Жезкентская сельская больница. КГП на ПХВ «Бородулихинская ЦРБ»</w:t>
            </w:r>
          </w:p>
        </w:tc>
      </w:tr>
      <w:tr>
        <w:trPr>
          <w:trHeight w:val="136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b/>
                <w:sz w:val="24"/>
                <w:szCs w:val="24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Гарантийное сервисное обслуживание МТ не менее 37 месяцев. 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- замену отработавших ресурс составных частей;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- замене или восстановлении отдельных частей МТ;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- настройку и регулировку изделия; специфические для данного изделия работы и т.п.;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>
            <w:pPr>
              <w:pStyle w:val="Normal"/>
              <w:tabs>
                <w:tab w:val="clear" w:pos="708"/>
                <w:tab w:val="left" w:pos="3969" w:leader="none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cs="" w:ascii="Times" w:hAnsi="Times" w:cstheme="minorHAnsi"/>
                <w:sz w:val="24"/>
                <w:szCs w:val="24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>
      <w:pPr>
        <w:pStyle w:val="Normal"/>
        <w:tabs>
          <w:tab w:val="clear" w:pos="708"/>
          <w:tab w:val="left" w:pos="3969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b/>
          <w:b/>
        </w:rPr>
      </w:pPr>
      <w:r>
        <w:rPr>
          <w:b/>
          <w:sz w:val="24"/>
          <w:szCs w:val="24"/>
        </w:rPr>
        <w:t>Условия ко всем пунктам технической спецификации.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969" w:leader="none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Товары должны быть новыми и ранее неиспользованными. Дата изготовления Товаров должна быть не ранее 2018 г., если иное не оговорено в тендерной документации. Каждый комплект Товара должен быть снабжен комплектом технической и эксплуатационной документации с переводом содержания на государственном и русском языках. Ввоз и реализация Товаров должны осуществляться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 Вт без дополнительных переходников или трансформаторов. </w:t>
      </w:r>
      <w:r>
        <w:rPr>
          <w:bCs/>
          <w:sz w:val="24"/>
          <w:szCs w:val="24"/>
          <w:shd w:fill="FFFFFF" w:val="clear"/>
        </w:rPr>
        <w:t xml:space="preserve">Срок </w:t>
      </w:r>
      <w:r>
        <w:rPr>
          <w:sz w:val="24"/>
          <w:szCs w:val="24"/>
        </w:rPr>
        <w:t xml:space="preserve">гарантия на оборудование, </w:t>
      </w:r>
      <w:r>
        <w:rPr>
          <w:bCs/>
          <w:sz w:val="24"/>
          <w:szCs w:val="24"/>
          <w:shd w:fill="FFFFFF" w:val="clear"/>
        </w:rPr>
        <w:t xml:space="preserve">гарантийного сервисного и технического обслуживания и ремонта не менее </w:t>
      </w:r>
      <w:r>
        <w:rPr>
          <w:bCs/>
          <w:sz w:val="24"/>
          <w:szCs w:val="24"/>
          <w:shd w:fill="FFFFFF" w:val="clear"/>
          <w:lang w:val="kk-KZ"/>
        </w:rPr>
        <w:t>37</w:t>
      </w:r>
      <w:r>
        <w:rPr>
          <w:bCs/>
          <w:sz w:val="24"/>
          <w:szCs w:val="24"/>
          <w:shd w:fill="FFFFFF" w:val="clear"/>
        </w:rPr>
        <w:t> месяцев</w:t>
      </w:r>
      <w:r>
        <w:rPr>
          <w:sz w:val="24"/>
          <w:szCs w:val="24"/>
        </w:rPr>
        <w:t xml:space="preserve"> с момента ввода оборудования в эксплуатацию (если иное не оговорено в Приложении № 1 к тендерной документации)</w:t>
      </w:r>
      <w:r>
        <w:rPr>
          <w:bCs/>
          <w:sz w:val="24"/>
          <w:szCs w:val="24"/>
          <w:shd w:fill="FFFFFF" w:val="clear"/>
        </w:rPr>
        <w:t>.</w:t>
      </w:r>
      <w:r>
        <w:rPr>
          <w:sz w:val="24"/>
          <w:szCs w:val="24"/>
          <w:shd w:fill="FFFFFF" w:val="clear"/>
        </w:rPr>
        <w:t> 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Наличие диплом - сертификата инженера, для сервисного и технического обслуживания и ремонта на предлагаемое оборудование.</w:t>
      </w:r>
      <w:r>
        <w:rPr>
          <w:sz w:val="24"/>
          <w:szCs w:val="24"/>
        </w:rPr>
        <w:t xml:space="preserve"> К технической спецификации потенциального поставщика кроме описания технических и эксплуатационных характеристик, а также моделей и производителей, должны прилагаться фотографии поставляемых товаров. Товары, относящиеся к измерительным средствам, должны быть внесены в реестр СИ Республики Казахстан,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документов. Не позднее, чем за 30 календарных дней до инсталляции оборудования, поставщик должен уведомить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 должно проходить в стандартные проемы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pStyle w:val="Normal"/>
        <w:tabs>
          <w:tab w:val="clear" w:pos="708"/>
          <w:tab w:val="left" w:pos="3969" w:leader="none"/>
        </w:tabs>
        <w:ind w:firstLine="708"/>
        <w:jc w:val="both"/>
        <w:rPr/>
      </w:pPr>
      <w:r>
        <w:rPr>
          <w:sz w:val="24"/>
          <w:szCs w:val="24"/>
        </w:rPr>
        <w:t xml:space="preserve">Поставщик обязан поставить медицинскую технику на условиях </w:t>
      </w:r>
      <w:r>
        <w:rPr>
          <w:sz w:val="24"/>
          <w:szCs w:val="24"/>
          <w:lang w:val="en-US"/>
        </w:rPr>
        <w:t>DDP</w:t>
      </w:r>
      <w:r>
        <w:rPr>
          <w:sz w:val="24"/>
          <w:szCs w:val="24"/>
        </w:rPr>
        <w:t xml:space="preserve"> – место назначения (ИНКОТЕРМС - 2010), провести установку и настройку медицинской техники, провести обучение медицинского персонала на рабочем месте, если иное не оговорено в технической спецификации.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1">
    <w:name w:val="Основной шрифт абзаца"/>
    <w:qFormat/>
    <w:rPr/>
  </w:style>
  <w:style w:type="character" w:styleId="Style12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5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6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1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7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2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3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2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8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9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20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1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paragraph" w:styleId="Style22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3">
    <w:name w:val="Body Text"/>
    <w:basedOn w:val="Normal"/>
    <w:pPr/>
    <w:rPr>
      <w:sz w:val="28"/>
      <w:szCs w:val="28"/>
      <w:lang w:val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3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7">
    <w:name w:val="Абзац списка"/>
    <w:basedOn w:val="Normal"/>
    <w:qFormat/>
    <w:pPr>
      <w:widowControl w:val="false"/>
      <w:spacing w:before="0" w:after="0"/>
      <w:ind w:left="720" w:hanging="0"/>
      <w:contextualSpacing/>
    </w:pPr>
    <w:rPr>
      <w:rFonts w:ascii="Arial" w:hAnsi="Arial" w:cs="Arial"/>
      <w:sz w:val="20"/>
      <w:szCs w:val="20"/>
    </w:rPr>
  </w:style>
  <w:style w:type="paragraph" w:styleId="Style28">
    <w:name w:val="Без интервала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4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5">
    <w:name w:val="Без интервала1"/>
    <w:qFormat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9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hanging="360"/>
    </w:pPr>
    <w:rPr>
      <w:rFonts w:ascii="Arial" w:hAnsi="Arial" w:eastAsia="Arial" w:cs="Arial"/>
      <w:sz w:val="17"/>
      <w:szCs w:val="17"/>
      <w:lang w:val="ru-RU"/>
    </w:rPr>
  </w:style>
  <w:style w:type="paragraph" w:styleId="16">
    <w:name w:val="Абзац списка1"/>
    <w:basedOn w:val="Normal"/>
    <w:qFormat/>
    <w:pPr>
      <w:suppressAutoHyphens w:val="true"/>
      <w:ind w:left="720" w:hanging="0"/>
    </w:pPr>
    <w:rPr>
      <w:rFonts w:ascii="Calibri" w:hAnsi="Calibri" w:eastAsia="Calibri" w:cs="Calibri"/>
      <w:lang w:eastAsia="zh-CN"/>
    </w:rPr>
  </w:style>
  <w:style w:type="paragraph" w:styleId="24">
    <w:name w:val="Без интервала2"/>
    <w:qFormat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30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TextFormat">
    <w:name w:val="H-TextFormat"/>
    <w:next w:val="Normal"/>
    <w:qFormat/>
    <w:pPr>
      <w:widowControl w:val="false"/>
      <w:bidi w:val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tyle31">
    <w:name w:val="Subtitle"/>
    <w:basedOn w:val="Normal"/>
    <w:next w:val="Style23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left="105" w:hanging="0"/>
    </w:pPr>
    <w:rPr>
      <w:sz w:val="22"/>
      <w:szCs w:val="22"/>
      <w:lang w:val="en-US"/>
    </w:rPr>
  </w:style>
  <w:style w:type="paragraph" w:styleId="Style32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33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1247</TotalTime>
  <Application>LibreOffice/6.3.2.2$Linux_X86_64 LibreOffice_project/30$Build-2</Application>
  <Pages>5</Pages>
  <Words>1004</Words>
  <Characters>7030</Characters>
  <CharactersWithSpaces>7975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2019-06-10T13:18:08Z</cp:lastPrinted>
  <dcterms:modified xsi:type="dcterms:W3CDTF">2019-11-22T10:12:13Z</dcterms:modified>
  <cp:revision>15</cp:revision>
  <dc:subject/>
  <dc:title/>
</cp:coreProperties>
</file>