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suppressAutoHyphens w:val="true"/>
        <w:bidi w:val="0"/>
        <w:spacing w:before="0" w:after="0"/>
        <w:ind w:left="4819" w:right="0" w:hanging="0"/>
        <w:jc w:val="right"/>
        <w:rPr>
          <w:rFonts w:ascii="Times New Roman" w:hAnsi="Times New Roman"/>
          <w:sz w:val="24"/>
          <w:szCs w:val="24"/>
        </w:rPr>
      </w:pPr>
      <w:r>
        <w:rPr>
          <w:sz w:val="24"/>
          <w:szCs w:val="24"/>
        </w:rPr>
        <w:t>«Утверждаю»</w:t>
        <w:br/>
        <w:t>главный врач КГП на ПХВ «</w:t>
      </w:r>
      <w:r>
        <w:rPr>
          <w:rFonts w:eastAsia="Noto Serif CJK SC" w:cs="Lohit Devanagari"/>
          <w:color w:val="auto"/>
          <w:kern w:val="2"/>
          <w:sz w:val="24"/>
          <w:szCs w:val="24"/>
          <w:lang w:val="ru-RU" w:eastAsia="zh-CN" w:bidi="hi-IN"/>
        </w:rPr>
        <w:t>Районная больница Бородулихинского района</w:t>
      </w:r>
      <w:r>
        <w:rPr>
          <w:sz w:val="24"/>
          <w:szCs w:val="24"/>
        </w:rPr>
        <w:t>» УЗ ВКО</w:t>
        <w:br/>
        <w:br/>
        <w:t>______________________ Эфендиев У.М.</w:t>
        <w:br/>
        <w:t>приказ № 4</w:t>
      </w:r>
      <w:r>
        <w:rPr>
          <w:sz w:val="24"/>
          <w:szCs w:val="24"/>
          <w:lang w:val="en-US"/>
        </w:rPr>
        <w:t>70</w:t>
      </w:r>
      <w:r>
        <w:rPr>
          <w:sz w:val="24"/>
          <w:szCs w:val="24"/>
        </w:rPr>
        <w:t xml:space="preserve"> от «</w:t>
      </w:r>
      <w:r>
        <w:rPr>
          <w:sz w:val="24"/>
          <w:szCs w:val="24"/>
          <w:lang w:val="en-US"/>
        </w:rPr>
        <w:t>30</w:t>
      </w:r>
      <w:r>
        <w:rPr>
          <w:sz w:val="24"/>
          <w:szCs w:val="24"/>
        </w:rPr>
        <w:t>» сентября 2021 года</w:t>
      </w:r>
    </w:p>
    <w:p>
      <w:pPr>
        <w:pStyle w:val="Normal"/>
        <w:jc w:val="center"/>
        <w:rPr>
          <w:rFonts w:ascii="Times New Roman" w:hAnsi="Times New Roman"/>
          <w:b/>
          <w:b/>
          <w:sz w:val="24"/>
          <w:szCs w:val="24"/>
        </w:rPr>
      </w:pPr>
      <w:r>
        <w:rPr>
          <w:b/>
          <w:sz w:val="24"/>
          <w:szCs w:val="24"/>
        </w:rPr>
      </w:r>
    </w:p>
    <w:p>
      <w:pPr>
        <w:pStyle w:val="Normal"/>
        <w:jc w:val="center"/>
        <w:rPr>
          <w:rFonts w:ascii="Times New Roman" w:hAnsi="Times New Roman"/>
          <w:b/>
          <w:b/>
          <w:sz w:val="24"/>
          <w:szCs w:val="24"/>
        </w:rPr>
      </w:pPr>
      <w:r>
        <w:rPr>
          <w:b/>
          <w:sz w:val="24"/>
          <w:szCs w:val="24"/>
        </w:rPr>
      </w:r>
    </w:p>
    <w:p>
      <w:pPr>
        <w:pStyle w:val="Normal"/>
        <w:jc w:val="center"/>
        <w:rPr>
          <w:rFonts w:ascii="Times New Roman" w:hAnsi="Times New Roman"/>
          <w:b/>
          <w:b/>
          <w:sz w:val="24"/>
          <w:szCs w:val="24"/>
        </w:rPr>
      </w:pPr>
      <w:r>
        <w:rPr>
          <w:b/>
          <w:sz w:val="24"/>
          <w:szCs w:val="24"/>
        </w:rPr>
      </w:r>
    </w:p>
    <w:p>
      <w:pPr>
        <w:pStyle w:val="Heading1"/>
        <w:rPr>
          <w:rFonts w:ascii="Times New Roman" w:hAnsi="Times New Roman"/>
        </w:rPr>
      </w:pPr>
      <w:bookmarkStart w:id="0" w:name="__RefHeading___Toc1835_2535700000"/>
      <w:bookmarkEnd w:id="0"/>
      <w:r>
        <w:rPr>
          <w:rFonts w:ascii="Times New Roman" w:hAnsi="Times New Roman"/>
        </w:rPr>
        <w:t>ТЕНДЕРНАЯ ДОКУМЕНТАЦИЯ ИЗМЕНЁННАЯ,</w:t>
        <w:br/>
      </w:r>
      <w:r>
        <w:rPr>
          <w:rFonts w:ascii="Times New Roman" w:hAnsi="Times New Roman"/>
          <w:b/>
          <w:sz w:val="24"/>
          <w:szCs w:val="24"/>
        </w:rPr>
        <w:t>предоставляемая организатором тендера потенциальным</w:t>
        <w:br/>
        <w:t>поставщикам по подготовке тендерных заявок и участия в тендере</w:t>
        <w:br/>
        <w:t xml:space="preserve">по закупу </w:t>
      </w:r>
      <w:r>
        <w:rPr>
          <w:rFonts w:ascii="Times New Roman" w:hAnsi="Times New Roman"/>
          <w:b/>
          <w:sz w:val="24"/>
          <w:szCs w:val="24"/>
          <w:lang w:val="kk-KZ"/>
        </w:rPr>
        <w:t>медицинского оборудования для родильного отделения</w:t>
      </w:r>
    </w:p>
    <w:p>
      <w:pPr>
        <w:pStyle w:val="Normal"/>
        <w:ind w:left="0" w:right="0" w:hanging="0"/>
        <w:jc w:val="center"/>
        <w:rPr>
          <w:rFonts w:ascii="Times New Roman" w:hAnsi="Times New Roman"/>
          <w:sz w:val="24"/>
          <w:szCs w:val="24"/>
          <w:lang w:val="kk-KZ"/>
        </w:rPr>
      </w:pPr>
      <w:r>
        <w:rPr>
          <w:sz w:val="24"/>
          <w:szCs w:val="24"/>
          <w:lang w:val="kk-KZ"/>
        </w:rPr>
      </w:r>
    </w:p>
    <w:p>
      <w:pPr>
        <w:pStyle w:val="TextBody"/>
        <w:rPr>
          <w:rFonts w:ascii="Times New Roman" w:hAnsi="Times New Roman"/>
        </w:rPr>
      </w:pPr>
      <w:r>
        <w:rPr>
          <w:b w:val="false"/>
          <w:bCs w:val="false"/>
          <w:lang w:val="kk-KZ"/>
        </w:rPr>
        <w:t xml:space="preserve">Настоящая тендерная документация, предоставляемая организатором тендера – КГП на ПХВ «Бородулихинская центральная районная больница» УЗ ВКО  потенциальным поставщикам для подготовки тендерных заявок и участия в тендере по закупу </w:t>
      </w:r>
      <w:r>
        <w:rPr>
          <w:b/>
          <w:bCs/>
          <w:lang w:val="kk-KZ"/>
        </w:rPr>
        <w:t>№2 «</w:t>
      </w:r>
      <w:r>
        <w:rPr>
          <w:rFonts w:eastAsia="Noto Serif CJK SC" w:cs="Lohit Devanagari"/>
          <w:b/>
          <w:bCs/>
          <w:color w:val="auto"/>
          <w:kern w:val="2"/>
          <w:lang w:val="kk-KZ" w:eastAsia="zh-CN" w:bidi="hi-IN"/>
        </w:rPr>
        <w:t>Медицинское оборудование для родильного отделения</w:t>
      </w:r>
      <w:r>
        <w:rPr>
          <w:b/>
          <w:bCs/>
          <w:lang w:val="kk-KZ"/>
        </w:rPr>
        <w:t>»</w:t>
      </w:r>
      <w:r>
        <w:rPr>
          <w:b w:val="false"/>
          <w:bCs w:val="false"/>
          <w:lang w:val="kk-KZ"/>
        </w:rPr>
        <w:t xml:space="preserve"> способом проведения тендера (далее - Тендерная документация), разработана в соответствии с «</w:t>
      </w:r>
      <w:r>
        <w:rPr>
          <w:rFonts w:eastAsia="Noto Serif CJK SC" w:cs="Lohit Devanagari"/>
          <w:b w:val="false"/>
          <w:bCs w:val="false"/>
          <w:color w:val="auto"/>
          <w:kern w:val="2"/>
          <w:sz w:val="24"/>
          <w:szCs w:val="24"/>
          <w:lang w:val="kk-KZ" w:eastAsia="zh-CN" w:bidi="hi-IN"/>
        </w:rPr>
        <w:t>Правилами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фармацевтческих услуг</w:t>
      </w:r>
      <w:r>
        <w:rPr>
          <w:b w:val="false"/>
          <w:bCs w:val="false"/>
          <w:lang w:val="kk-KZ"/>
        </w:rPr>
        <w:t>», утвержденными постановлением Правительства Республики Казахстан от 4 июня 2021 года № 375 (далее – Правила).</w:t>
      </w:r>
    </w:p>
    <w:p>
      <w:pPr>
        <w:pStyle w:val="Heading3"/>
        <w:spacing w:before="280" w:after="280"/>
        <w:rPr>
          <w:rFonts w:ascii="Times New Roman" w:hAnsi="Times New Roman"/>
        </w:rPr>
      </w:pPr>
      <w:bookmarkStart w:id="1" w:name="__RefHeading___Toc11164_3712210509"/>
      <w:bookmarkEnd w:id="1"/>
      <w:r>
        <w:rPr/>
        <w:t>1. Предмет тендера</w:t>
      </w:r>
    </w:p>
    <w:p>
      <w:pPr>
        <w:pStyle w:val="TextBody"/>
        <w:rPr>
          <w:rFonts w:ascii="Times New Roman" w:hAnsi="Times New Roman"/>
        </w:rPr>
      </w:pPr>
      <w:r>
        <w:rPr>
          <w:sz w:val="24"/>
          <w:szCs w:val="24"/>
        </w:rPr>
        <w:t xml:space="preserve">1.1. Настоящая Тендерная документация по проведению тендера по закупу </w:t>
      </w:r>
      <w:r>
        <w:rPr>
          <w:rFonts w:eastAsia="Noto Serif CJK SC" w:cs="Lohit Devanagari"/>
          <w:color w:val="auto"/>
          <w:kern w:val="2"/>
          <w:sz w:val="24"/>
          <w:szCs w:val="24"/>
          <w:lang w:val="kk-KZ" w:eastAsia="zh-CN" w:bidi="hi-IN"/>
        </w:rPr>
        <w:t>медицинского оборудования</w:t>
      </w:r>
      <w:r>
        <w:rPr>
          <w:sz w:val="24"/>
          <w:szCs w:val="24"/>
          <w:lang w:val="kk-KZ"/>
        </w:rPr>
        <w:t xml:space="preserve"> </w:t>
      </w:r>
      <w:r>
        <w:rPr>
          <w:sz w:val="24"/>
          <w:szCs w:val="24"/>
        </w:rPr>
        <w:t xml:space="preserve"> (далее – Товары) для родильного отделения способом проведения тендера, разработана с целью предоставления потенциальным поставщикам полной информации об их участии в тендере.</w:t>
      </w:r>
    </w:p>
    <w:p>
      <w:pPr>
        <w:pStyle w:val="TextBody"/>
        <w:rPr>
          <w:rFonts w:ascii="Times New Roman" w:hAnsi="Times New Roman"/>
        </w:rPr>
      </w:pPr>
      <w:r>
        <w:rPr/>
        <w:t xml:space="preserve">1.2. Организатором тендера по закупу </w:t>
      </w:r>
      <w:r>
        <w:rPr>
          <w:lang w:val="kk-KZ"/>
        </w:rPr>
        <w:t xml:space="preserve">лекарственных средств  </w:t>
      </w:r>
      <w:r>
        <w:rPr/>
        <w:t xml:space="preserve">выступает </w:t>
      </w:r>
      <w:r>
        <w:rPr>
          <w:rFonts w:eastAsia="Noto Serif CJK SC" w:cs="Lohit Devanagari"/>
          <w:color w:val="auto"/>
          <w:kern w:val="2"/>
          <w:lang w:val="ru-RU" w:eastAsia="zh-CN" w:bidi="hi-IN"/>
        </w:rPr>
        <w:t>КГП на ПХВ «Районная больница Бородулихинского района» УЗ ВКО</w:t>
      </w:r>
      <w:r>
        <w:rPr/>
        <w:t>.</w:t>
      </w:r>
    </w:p>
    <w:p>
      <w:pPr>
        <w:pStyle w:val="TextBody"/>
        <w:rPr>
          <w:rFonts w:ascii="Times New Roman" w:hAnsi="Times New Roman"/>
        </w:rPr>
      </w:pPr>
      <w:r>
        <w:rPr/>
        <w:t xml:space="preserve">1.3. Заказчиком является  </w:t>
      </w:r>
      <w:r>
        <w:rPr>
          <w:rFonts w:eastAsia="Noto Serif CJK SC" w:cs="Lohit Devanagari"/>
          <w:color w:val="auto"/>
          <w:kern w:val="2"/>
          <w:lang w:val="ru-RU" w:eastAsia="zh-CN" w:bidi="hi-IN"/>
        </w:rPr>
        <w:t>КГП на ПХВ «Районная больница Бородулихинского района» УЗ ВКО</w:t>
      </w:r>
      <w:r>
        <w:rPr/>
        <w:t>.</w:t>
      </w:r>
    </w:p>
    <w:p>
      <w:pPr>
        <w:pStyle w:val="TextBody"/>
        <w:rPr>
          <w:rFonts w:ascii="Times New Roman" w:hAnsi="Times New Roman"/>
        </w:rPr>
      </w:pPr>
      <w:r>
        <w:rPr/>
        <w:t>1.4. Тендер проводится с целью определения поставщиков</w:t>
      </w:r>
      <w:r>
        <w:rPr>
          <w:b w:val="false"/>
          <w:bCs w:val="false"/>
        </w:rPr>
        <w:t xml:space="preserve"> </w:t>
      </w:r>
      <w:r>
        <w:rPr>
          <w:rFonts w:eastAsia="Noto Serif CJK SC" w:cs="Lohit Devanagari"/>
          <w:b w:val="false"/>
          <w:bCs w:val="false"/>
          <w:color w:val="auto"/>
          <w:kern w:val="2"/>
          <w:sz w:val="24"/>
          <w:szCs w:val="24"/>
          <w:lang w:val="kk-KZ" w:eastAsia="zh-CN" w:bidi="hi-IN"/>
        </w:rPr>
        <w:t>медицинского оборудования для родильного отделения</w:t>
      </w:r>
      <w:r>
        <w:rPr/>
        <w:t>.</w:t>
      </w:r>
    </w:p>
    <w:p>
      <w:pPr>
        <w:pStyle w:val="TextBody"/>
        <w:rPr>
          <w:rFonts w:ascii="Times New Roman" w:hAnsi="Times New Roman"/>
        </w:rPr>
      </w:pPr>
      <w:r>
        <w:rPr>
          <w:b w:val="false"/>
          <w:bCs w:val="false"/>
          <w:lang w:val="kk-KZ"/>
        </w:rPr>
        <w:t xml:space="preserve">Полный перечень закупаемых Товаров приведен в </w:t>
      </w:r>
      <w:r>
        <w:rPr>
          <w:b w:val="false"/>
          <w:bCs w:val="false"/>
          <w:highlight w:val="yellow"/>
          <w:lang w:val="kk-KZ"/>
        </w:rPr>
        <w:t>приложении  2</w:t>
      </w:r>
      <w:r>
        <w:rPr>
          <w:b w:val="false"/>
          <w:bCs w:val="false"/>
          <w:lang w:val="kk-KZ"/>
        </w:rPr>
        <w:t xml:space="preserve"> к настоящей Тендерной документации.</w:t>
      </w:r>
    </w:p>
    <w:p>
      <w:pPr>
        <w:pStyle w:val="Heading3"/>
        <w:spacing w:before="280" w:after="280"/>
        <w:rPr>
          <w:rFonts w:ascii="Times New Roman" w:hAnsi="Times New Roman" w:eastAsia="Noto Serif CJK SC" w:cs="Lohit Devanagari"/>
          <w:b/>
          <w:b/>
          <w:bCs/>
          <w:color w:val="auto"/>
          <w:kern w:val="2"/>
          <w:sz w:val="27"/>
          <w:szCs w:val="27"/>
          <w:lang w:val="ru-RU" w:eastAsia="zh-CN" w:bidi="hi-IN"/>
        </w:rPr>
      </w:pPr>
      <w:bookmarkStart w:id="2" w:name="__RefHeading___Toc1839_2535700000"/>
      <w:bookmarkEnd w:id="2"/>
      <w:r>
        <w:rPr>
          <w:rFonts w:eastAsia="Noto Serif CJK SC" w:cs="Lohit Devanagari"/>
          <w:b/>
          <w:bCs/>
          <w:color w:val="auto"/>
          <w:kern w:val="2"/>
          <w:sz w:val="27"/>
          <w:szCs w:val="27"/>
          <w:lang w:val="ru-RU" w:eastAsia="zh-CN" w:bidi="hi-IN"/>
        </w:rPr>
        <w:t>2. Содержание тендерной документации</w:t>
      </w:r>
    </w:p>
    <w:p>
      <w:pPr>
        <w:pStyle w:val="TextBody"/>
        <w:rPr>
          <w:rFonts w:ascii="Times New Roman" w:hAnsi="Times New Roman"/>
        </w:rPr>
      </w:pPr>
      <w:r>
        <w:rPr/>
        <w:t>Настоящая тендерная документация включает в себя:</w:t>
      </w:r>
    </w:p>
    <w:p>
      <w:pPr>
        <w:sectPr>
          <w:footerReference w:type="default" r:id="rId2"/>
          <w:type w:val="nextPage"/>
          <w:pgSz w:w="11906" w:h="16838"/>
          <w:pgMar w:left="1701" w:right="567" w:gutter="0" w:header="0" w:top="1134" w:footer="1134" w:bottom="1750"/>
          <w:pgNumType w:fmt="decimal"/>
          <w:formProt w:val="false"/>
          <w:textDirection w:val="lrTb"/>
          <w:docGrid w:type="default" w:linePitch="100" w:charSpace="0"/>
        </w:sectPr>
        <w:pStyle w:val="TextBody"/>
        <w:rPr>
          <w:rFonts w:ascii="Times New Roman" w:hAnsi="Times New Roman"/>
        </w:rPr>
      </w:pPr>
      <w:r>
        <w:rPr>
          <w:sz w:val="24"/>
          <w:szCs w:val="24"/>
        </w:rPr>
        <w:t xml:space="preserve">2.1. состав тендерной документации, перечень документов, подлежащих  представлению потенциальным поставщиком в подтверждение его  соответствия требованиям глав 3 и 4 </w:t>
      </w:r>
      <w:bookmarkStart w:id="3" w:name="z218"/>
      <w:bookmarkEnd w:id="3"/>
      <w:r>
        <w:rPr>
          <w:sz w:val="24"/>
          <w:szCs w:val="24"/>
        </w:rPr>
        <w:t xml:space="preserve"> Правил;</w:t>
      </w:r>
    </w:p>
    <w:p>
      <w:pPr>
        <w:pStyle w:val="TextBody"/>
        <w:rPr>
          <w:rFonts w:ascii="Times New Roman" w:hAnsi="Times New Roman"/>
          <w:sz w:val="24"/>
          <w:szCs w:val="24"/>
        </w:rPr>
      </w:pPr>
      <w:r>
        <w:rPr>
          <w:color w:val="000000"/>
          <w:spacing w:val="2"/>
          <w:sz w:val="24"/>
          <w:szCs w:val="24"/>
        </w:rPr>
        <w:t>2.2. технические и качественные характеристики закупаемых товаров, включая технические спецификации;</w:t>
      </w:r>
      <w:r>
        <w:rPr>
          <w:sz w:val="24"/>
          <w:szCs w:val="24"/>
        </w:rPr>
        <w:t xml:space="preserve"> (</w:t>
      </w:r>
      <w:r>
        <w:rPr>
          <w:sz w:val="24"/>
          <w:szCs w:val="24"/>
          <w:highlight w:val="yellow"/>
        </w:rPr>
        <w:t>Приложение 1</w:t>
      </w:r>
      <w:r>
        <w:rPr>
          <w:sz w:val="24"/>
          <w:szCs w:val="24"/>
        </w:rPr>
        <w:t>)</w:t>
      </w:r>
      <w:bookmarkStart w:id="4" w:name="z219"/>
      <w:bookmarkEnd w:id="4"/>
      <w:r>
        <w:rPr>
          <w:sz w:val="24"/>
          <w:szCs w:val="24"/>
        </w:rPr>
        <w:t>;</w:t>
      </w:r>
    </w:p>
    <w:p>
      <w:pPr>
        <w:pStyle w:val="TextBody"/>
        <w:rPr>
          <w:rFonts w:ascii="Times New Roman" w:hAnsi="Times New Roman"/>
          <w:sz w:val="24"/>
          <w:szCs w:val="24"/>
        </w:rPr>
      </w:pPr>
      <w:r>
        <w:rPr>
          <w:color w:val="000000"/>
          <w:spacing w:val="2"/>
          <w:sz w:val="24"/>
          <w:szCs w:val="24"/>
        </w:rPr>
        <w:t>2.3. объем закупаемых товаров и суммы, выделенные для их закупа по каждому лоту (</w:t>
      </w:r>
      <w:r>
        <w:rPr>
          <w:color w:val="000000"/>
          <w:spacing w:val="2"/>
          <w:sz w:val="24"/>
          <w:szCs w:val="24"/>
          <w:highlight w:val="yellow"/>
        </w:rPr>
        <w:t>Приложение 2</w:t>
      </w:r>
      <w:r>
        <w:rPr>
          <w:color w:val="000000"/>
          <w:spacing w:val="2"/>
          <w:sz w:val="24"/>
          <w:szCs w:val="24"/>
        </w:rPr>
        <w:t>).</w:t>
      </w:r>
      <w:bookmarkStart w:id="5" w:name="z221"/>
      <w:bookmarkStart w:id="6" w:name="z220"/>
      <w:bookmarkEnd w:id="5"/>
      <w:bookmarkEnd w:id="6"/>
    </w:p>
    <w:p>
      <w:pPr>
        <w:pStyle w:val="TextBody"/>
        <w:rPr>
          <w:rFonts w:ascii="Times New Roman" w:hAnsi="Times New Roman"/>
          <w:sz w:val="24"/>
          <w:szCs w:val="24"/>
        </w:rPr>
      </w:pPr>
      <w:r>
        <w:rPr>
          <w:color w:val="000000"/>
          <w:spacing w:val="2"/>
          <w:sz w:val="24"/>
          <w:szCs w:val="24"/>
        </w:rPr>
        <w:t>2.4. место, сроки поставки товара;</w:t>
      </w:r>
      <w:bookmarkStart w:id="7" w:name="z222"/>
      <w:bookmarkEnd w:id="7"/>
    </w:p>
    <w:p>
      <w:pPr>
        <w:pStyle w:val="TextBody"/>
        <w:rPr>
          <w:rFonts w:ascii="Times New Roman" w:hAnsi="Times New Roman"/>
          <w:sz w:val="24"/>
          <w:szCs w:val="24"/>
        </w:rPr>
      </w:pPr>
      <w:r>
        <w:rPr>
          <w:sz w:val="24"/>
          <w:szCs w:val="24"/>
        </w:rPr>
        <w:t>2.5. условия платежей и проект договора по формам, утвержденным уполномоченным органом в области здравоохранения;</w:t>
      </w:r>
    </w:p>
    <w:p>
      <w:pPr>
        <w:pStyle w:val="TextBody"/>
        <w:rPr>
          <w:rFonts w:ascii="Times New Roman" w:hAnsi="Times New Roman"/>
          <w:sz w:val="24"/>
          <w:szCs w:val="24"/>
        </w:rPr>
      </w:pPr>
      <w:r>
        <w:rPr>
          <w:sz w:val="24"/>
          <w:szCs w:val="24"/>
        </w:rPr>
        <w:t>2.6. требования к языкам тендерной заявки, договора закупа или договора на оказание фармацевтических услуг;</w:t>
      </w:r>
    </w:p>
    <w:p>
      <w:pPr>
        <w:pStyle w:val="TextBody"/>
        <w:rPr>
          <w:rFonts w:ascii="Times New Roman" w:hAnsi="Times New Roman"/>
          <w:sz w:val="24"/>
          <w:szCs w:val="24"/>
        </w:rPr>
      </w:pPr>
      <w:r>
        <w:rPr>
          <w:sz w:val="24"/>
          <w:szCs w:val="24"/>
        </w:rPr>
        <w:t>2.7. требования к оформлению тендерной заявки;</w:t>
      </w:r>
    </w:p>
    <w:p>
      <w:pPr>
        <w:pStyle w:val="TextBody"/>
        <w:rPr>
          <w:rFonts w:ascii="Times New Roman" w:hAnsi="Times New Roman"/>
          <w:sz w:val="24"/>
          <w:szCs w:val="24"/>
        </w:rPr>
      </w:pPr>
      <w:r>
        <w:rPr>
          <w:color w:val="000000"/>
          <w:spacing w:val="2"/>
          <w:sz w:val="24"/>
          <w:szCs w:val="24"/>
        </w:rPr>
        <w:t xml:space="preserve">2.8. </w:t>
      </w:r>
      <w:r>
        <w:rPr>
          <w:b w:val="false"/>
          <w:i w:val="false"/>
          <w:caps w:val="false"/>
          <w:smallCaps w:val="false"/>
          <w:color w:val="000000"/>
          <w:spacing w:val="2"/>
          <w:sz w:val="24"/>
          <w:szCs w:val="24"/>
        </w:rPr>
        <w:t>порядок, форму и сроки внесения гарантийного обеспечения тендерной заявки;</w:t>
      </w:r>
    </w:p>
    <w:p>
      <w:pPr>
        <w:pStyle w:val="TextBody"/>
        <w:rPr>
          <w:rFonts w:ascii="Times New Roman" w:hAnsi="Times New Roman"/>
          <w:sz w:val="24"/>
          <w:szCs w:val="24"/>
        </w:rPr>
      </w:pPr>
      <w:r>
        <w:rPr>
          <w:sz w:val="24"/>
          <w:szCs w:val="24"/>
        </w:rPr>
        <w:t xml:space="preserve">2.9. </w:t>
      </w:r>
      <w:r>
        <w:rPr>
          <w:b w:val="false"/>
          <w:i w:val="false"/>
          <w:caps w:val="false"/>
          <w:smallCaps w:val="false"/>
          <w:color w:val="000000"/>
          <w:spacing w:val="0"/>
          <w:sz w:val="24"/>
          <w:szCs w:val="24"/>
        </w:rPr>
        <w:t>указание на возможность и порядок отзыва тендерной заявки;</w:t>
      </w:r>
    </w:p>
    <w:p>
      <w:pPr>
        <w:pStyle w:val="TextBody"/>
        <w:rPr>
          <w:rFonts w:ascii="Times New Roman" w:hAnsi="Times New Roman"/>
          <w:sz w:val="24"/>
          <w:szCs w:val="24"/>
        </w:rPr>
      </w:pPr>
      <w:r>
        <w:rPr>
          <w:sz w:val="24"/>
          <w:szCs w:val="24"/>
        </w:rPr>
        <w:t xml:space="preserve">2.10. </w:t>
      </w:r>
      <w:r>
        <w:rPr>
          <w:b w:val="false"/>
          <w:i w:val="false"/>
          <w:caps w:val="false"/>
          <w:smallCaps w:val="false"/>
          <w:color w:val="000000"/>
          <w:spacing w:val="0"/>
          <w:sz w:val="24"/>
          <w:szCs w:val="24"/>
        </w:rPr>
        <w:t>место и окончательный срок приема тендерных заявок и срок их действия;</w:t>
      </w:r>
    </w:p>
    <w:p>
      <w:pPr>
        <w:pStyle w:val="TextBody"/>
        <w:rPr>
          <w:rFonts w:ascii="Times New Roman" w:hAnsi="Times New Roman"/>
          <w:sz w:val="24"/>
          <w:szCs w:val="24"/>
        </w:rPr>
      </w:pPr>
      <w:r>
        <w:rPr>
          <w:sz w:val="24"/>
          <w:szCs w:val="24"/>
        </w:rPr>
        <w:t>2.11. формы обращения потенциальных поставщиков за разъяснениями по содержанию тендерной документации при необходимости порядка проведения встречи с ними;</w:t>
      </w:r>
    </w:p>
    <w:p>
      <w:pPr>
        <w:pStyle w:val="TextBody"/>
        <w:rPr>
          <w:rFonts w:ascii="Times New Roman" w:hAnsi="Times New Roman"/>
          <w:sz w:val="24"/>
          <w:szCs w:val="24"/>
        </w:rPr>
      </w:pPr>
      <w:r>
        <w:rPr>
          <w:sz w:val="24"/>
          <w:szCs w:val="24"/>
        </w:rPr>
        <w:t xml:space="preserve">2.12. </w:t>
      </w:r>
      <w:r>
        <w:rPr>
          <w:b w:val="false"/>
          <w:i w:val="false"/>
          <w:caps w:val="false"/>
          <w:smallCaps w:val="false"/>
          <w:color w:val="000000"/>
          <w:spacing w:val="2"/>
          <w:sz w:val="24"/>
          <w:szCs w:val="24"/>
        </w:rPr>
        <w:t>место, дату, время и процедуру вскрытия конвертов с тендерными заявками;</w:t>
      </w:r>
      <w:r>
        <w:rPr>
          <w:color w:val="000000"/>
          <w:spacing w:val="2"/>
          <w:sz w:val="24"/>
          <w:szCs w:val="24"/>
        </w:rPr>
        <w:t xml:space="preserve"> </w:t>
      </w:r>
    </w:p>
    <w:p>
      <w:pPr>
        <w:pStyle w:val="TextBody"/>
        <w:rPr>
          <w:rFonts w:ascii="Times New Roman" w:hAnsi="Times New Roman"/>
          <w:sz w:val="24"/>
          <w:szCs w:val="24"/>
        </w:rPr>
      </w:pPr>
      <w:r>
        <w:rPr>
          <w:sz w:val="24"/>
          <w:szCs w:val="24"/>
        </w:rPr>
        <w:t xml:space="preserve">2.13. </w:t>
      </w:r>
      <w:r>
        <w:rPr>
          <w:b w:val="false"/>
          <w:i w:val="false"/>
          <w:caps w:val="false"/>
          <w:smallCaps w:val="false"/>
          <w:color w:val="000000"/>
          <w:spacing w:val="0"/>
          <w:sz w:val="24"/>
          <w:szCs w:val="24"/>
        </w:rPr>
        <w:t>процедуру рассмотрения тендерных заявок;</w:t>
      </w:r>
    </w:p>
    <w:p>
      <w:pPr>
        <w:pStyle w:val="TextBody"/>
        <w:rPr>
          <w:rFonts w:ascii="Times New Roman" w:hAnsi="Times New Roman"/>
          <w:sz w:val="24"/>
          <w:szCs w:val="24"/>
        </w:rPr>
      </w:pPr>
      <w:r>
        <w:rPr>
          <w:rFonts w:eastAsia="Noto Serif CJK SC" w:cs="Lohit Devanagari"/>
          <w:color w:val="000000"/>
          <w:spacing w:val="2"/>
          <w:kern w:val="2"/>
          <w:sz w:val="24"/>
          <w:szCs w:val="24"/>
          <w:lang w:val="ru-RU" w:eastAsia="ar-SA" w:bidi="hi-IN"/>
        </w:rPr>
        <w:t>2.14.</w:t>
      </w:r>
      <w:r>
        <w:rPr>
          <w:color w:val="000000"/>
          <w:spacing w:val="2"/>
          <w:sz w:val="24"/>
          <w:szCs w:val="24"/>
        </w:rPr>
        <w:t xml:space="preserve"> </w:t>
      </w:r>
      <w:r>
        <w:rPr>
          <w:b w:val="false"/>
          <w:i w:val="false"/>
          <w:caps w:val="false"/>
          <w:smallCaps w:val="false"/>
          <w:color w:val="000000"/>
          <w:spacing w:val="2"/>
          <w:sz w:val="24"/>
          <w:szCs w:val="24"/>
        </w:rPr>
        <w:t>условия предоставления потенциальным поставщикам- отечественным товаропроизводителям поддержки, определенные Правилами;</w:t>
      </w:r>
    </w:p>
    <w:p>
      <w:pPr>
        <w:pStyle w:val="TextBody"/>
        <w:rPr>
          <w:rFonts w:ascii="Times New Roman" w:hAnsi="Times New Roman"/>
          <w:sz w:val="24"/>
          <w:szCs w:val="24"/>
        </w:rPr>
      </w:pPr>
      <w:r>
        <w:rPr>
          <w:sz w:val="24"/>
          <w:szCs w:val="24"/>
        </w:rPr>
        <w:t xml:space="preserve">2.15. </w:t>
      </w:r>
      <w:r>
        <w:rPr>
          <w:b w:val="false"/>
          <w:i w:val="false"/>
          <w:caps w:val="false"/>
          <w:smallCaps w:val="false"/>
          <w:color w:val="000000"/>
          <w:spacing w:val="0"/>
          <w:sz w:val="24"/>
          <w:szCs w:val="24"/>
        </w:rPr>
        <w:t>условия внесения, форму, объем и способ гарантийного обеспечения договора закупа или договора на оказание фармацевтических услуг;</w:t>
      </w:r>
    </w:p>
    <w:p>
      <w:pPr>
        <w:pStyle w:val="TextBody"/>
        <w:rPr>
          <w:rFonts w:ascii="Times New Roman" w:hAnsi="Times New Roman"/>
          <w:sz w:val="24"/>
          <w:szCs w:val="24"/>
        </w:rPr>
      </w:pPr>
      <w:r>
        <w:rPr>
          <w:b w:val="false"/>
          <w:i w:val="false"/>
          <w:caps w:val="false"/>
          <w:smallCaps w:val="false"/>
          <w:color w:val="000000"/>
          <w:spacing w:val="0"/>
          <w:sz w:val="24"/>
          <w:szCs w:val="24"/>
        </w:rPr>
        <w:t>2.16. перечень и количество лекарственных средств, медицинских изделий, отпускаемых на бесплатной и (или) льготной основе, с указанием международного непатентованного наименования или состава лекарственных средств, а также технической характеристики и предельных цен на международное непатентованное наименование и предельных цен на торговое наименование по каждому лоту (при закупе фармацевтических услуг).</w:t>
      </w:r>
    </w:p>
    <w:p>
      <w:pPr>
        <w:pStyle w:val="TextBody"/>
        <w:rPr>
          <w:rFonts w:ascii="Times New Roman" w:hAnsi="Times New Roman"/>
          <w:sz w:val="24"/>
          <w:szCs w:val="24"/>
        </w:rPr>
      </w:pPr>
      <w:r>
        <w:rPr>
          <w:sz w:val="24"/>
          <w:szCs w:val="24"/>
        </w:rPr>
        <w:t>В случае индивидуальной непереносимости пациента, на основании заключения врачебно-консультативной комиссии заказчика, перечень и количество лекарственных средств, медицинских изделий, отпускаемых на бесплатной и (или) льготной основе, с указанием торгового названия, а также технической характеристики и предельных цен на международное непатентованное наименование и предельных цен на торговое наименование по каждому лоту (при закупе фармацевтических услуг);</w:t>
      </w:r>
    </w:p>
    <w:p>
      <w:pPr>
        <w:pStyle w:val="TextBody"/>
        <w:rPr>
          <w:rFonts w:ascii="Times New Roman" w:hAnsi="Times New Roman"/>
          <w:sz w:val="24"/>
          <w:szCs w:val="24"/>
        </w:rPr>
      </w:pPr>
      <w:r>
        <w:rPr>
          <w:sz w:val="24"/>
          <w:szCs w:val="24"/>
        </w:rPr>
        <w:t>2.17. сведения о квалификации согласно форме, утвержденной уполномоченным органом в области здравоохранения;</w:t>
      </w:r>
    </w:p>
    <w:p>
      <w:pPr>
        <w:pStyle w:val="TextBody"/>
        <w:rPr>
          <w:rFonts w:ascii="Times New Roman" w:hAnsi="Times New Roman"/>
        </w:rPr>
      </w:pPr>
      <w:bookmarkStart w:id="8" w:name="z226"/>
      <w:bookmarkStart w:id="9" w:name="z230"/>
      <w:bookmarkStart w:id="10" w:name="z239"/>
      <w:bookmarkStart w:id="11" w:name="z231"/>
      <w:bookmarkStart w:id="12" w:name="z240"/>
      <w:bookmarkStart w:id="13" w:name="z237"/>
      <w:bookmarkStart w:id="14" w:name="z224"/>
      <w:bookmarkStart w:id="15" w:name="z227"/>
      <w:bookmarkStart w:id="16" w:name="z228"/>
      <w:bookmarkStart w:id="17" w:name="z225"/>
      <w:bookmarkStart w:id="18" w:name="z229"/>
      <w:bookmarkStart w:id="19" w:name="z234"/>
      <w:bookmarkEnd w:id="8"/>
      <w:bookmarkEnd w:id="9"/>
      <w:bookmarkEnd w:id="10"/>
      <w:bookmarkEnd w:id="11"/>
      <w:bookmarkEnd w:id="12"/>
      <w:bookmarkEnd w:id="13"/>
      <w:bookmarkEnd w:id="14"/>
      <w:bookmarkEnd w:id="15"/>
      <w:bookmarkEnd w:id="16"/>
      <w:bookmarkEnd w:id="17"/>
      <w:bookmarkEnd w:id="18"/>
      <w:bookmarkEnd w:id="19"/>
      <w:r>
        <w:rPr>
          <w:b w:val="false"/>
          <w:bCs w:val="false"/>
          <w:color w:val="000000"/>
          <w:spacing w:val="2"/>
          <w:sz w:val="24"/>
          <w:szCs w:val="24"/>
          <w:lang w:val="kk-KZ"/>
        </w:rPr>
        <w:t xml:space="preserve">2.18. требования к товарам, установленные </w:t>
      </w:r>
      <w:r>
        <w:rPr>
          <w:rFonts w:eastAsia="Calibri"/>
          <w:b w:val="false"/>
          <w:bCs w:val="false"/>
          <w:sz w:val="24"/>
          <w:szCs w:val="24"/>
          <w:lang w:val="kk-KZ" w:eastAsia="en-US"/>
        </w:rPr>
        <w:t>главой 4</w:t>
      </w:r>
      <w:r>
        <w:rPr>
          <w:b w:val="false"/>
          <w:bCs w:val="false"/>
          <w:color w:val="000000"/>
          <w:spacing w:val="2"/>
          <w:sz w:val="24"/>
          <w:szCs w:val="24"/>
          <w:lang w:val="kk-KZ"/>
        </w:rPr>
        <w:t xml:space="preserve"> Правил</w:t>
      </w:r>
      <w:r>
        <w:rPr>
          <w:b w:val="false"/>
          <w:bCs w:val="false"/>
          <w:color w:val="000000"/>
          <w:spacing w:val="2"/>
          <w:lang w:val="kk-KZ"/>
        </w:rPr>
        <w:t>.</w:t>
      </w:r>
    </w:p>
    <w:p>
      <w:pPr>
        <w:pStyle w:val="Heading3"/>
        <w:spacing w:before="280" w:after="280"/>
        <w:rPr>
          <w:rFonts w:ascii="Times New Roman" w:hAnsi="Times New Roman"/>
        </w:rPr>
      </w:pPr>
      <w:bookmarkStart w:id="20" w:name="__RefHeading___Toc1841_2535700000"/>
      <w:bookmarkEnd w:id="20"/>
      <w:r>
        <w:rPr/>
        <w:t>3. Квалификационные требования, предъявляемые к потенциальному поставщику</w:t>
      </w:r>
    </w:p>
    <w:p>
      <w:pPr>
        <w:pStyle w:val="Normal"/>
        <w:rPr>
          <w:rFonts w:ascii="Times New Roman" w:hAnsi="Times New Roman"/>
        </w:rPr>
      </w:pPr>
      <w:r>
        <w:rPr/>
        <w:t>3.1. К тендеру допускаются потенциальные поставщики, гарантирующие поставку закупаемого товара, соответствующего по качеству требованиям, указанным в технической спецификации (</w:t>
      </w:r>
      <w:r>
        <w:rPr>
          <w:highlight w:val="yellow"/>
        </w:rPr>
        <w:t>Приложение 1</w:t>
      </w:r>
      <w:r>
        <w:rPr/>
        <w:t xml:space="preserve"> к настоящей Тендерной документации) </w:t>
      </w:r>
    </w:p>
    <w:p>
      <w:pPr>
        <w:pStyle w:val="Normal"/>
        <w:rPr>
          <w:rFonts w:ascii="Times New Roman" w:hAnsi="Times New Roman"/>
        </w:rPr>
      </w:pPr>
      <w:r>
        <w:rPr/>
        <w:t>3.2. Для участия в тендере потенциальный поставщик должен соответствовать следующим квалификационным требованиям:</w:t>
      </w:r>
    </w:p>
    <w:p>
      <w:pPr>
        <w:pStyle w:val="Normal"/>
        <w:rPr>
          <w:rFonts w:ascii="Times New Roman" w:hAnsi="Times New Roman"/>
        </w:rPr>
      </w:pPr>
      <w:r>
        <w:rPr/>
        <w:t>1) обладать правоспособностью (для юридических лиц), гражданской дееспособностью (для физических лиц, осуществляющих предпринимательскую деятельность);</w:t>
      </w:r>
    </w:p>
    <w:p>
      <w:pPr>
        <w:pStyle w:val="Normal"/>
        <w:rPr>
          <w:rFonts w:ascii="Times New Roman" w:hAnsi="Times New Roman"/>
        </w:rPr>
      </w:pPr>
      <w:r>
        <w:rPr/>
        <w:t>2) не аффилирован с членами и секретарем тендерной комиссии, а также представителями заказчика, организаторами закупа или единого дистрибьютора, которые имеют право прямо и (или) косвенно принимать решения и (или) оказывать влияние на принимаемые решения тендерной комиссией (комиссии);</w:t>
      </w:r>
    </w:p>
    <w:p>
      <w:pPr>
        <w:pStyle w:val="Normal"/>
        <w:rPr>
          <w:rFonts w:ascii="Times New Roman" w:hAnsi="Times New Roman"/>
        </w:rPr>
      </w:pPr>
      <w:r>
        <w:rPr/>
        <w:t>3) отсутствие задолженности в бюджет, задолженности по обязательным пенсионным взносам, обязательным профессиональным пенсионным взносам, социальным отчисленим и отчислениям и (или) взносам на обязательное социальное мединиское страхование;</w:t>
      </w:r>
    </w:p>
    <w:p>
      <w:pPr>
        <w:pStyle w:val="Normal"/>
        <w:rPr>
          <w:rFonts w:ascii="Times New Roman" w:hAnsi="Times New Roman"/>
        </w:rPr>
      </w:pPr>
      <w:r>
        <w:rPr/>
        <w:t>4) не подлежать процедуре банкротства либо ликвидации;</w:t>
      </w:r>
    </w:p>
    <w:p>
      <w:pPr>
        <w:pStyle w:val="Normal"/>
        <w:rPr>
          <w:rFonts w:ascii="Times New Roman" w:hAnsi="Times New Roman"/>
        </w:rPr>
      </w:pPr>
      <w:r>
        <w:rPr/>
        <w:t>3.3. Потенциальный поставщик по одному лоту тендера, представляет одного производителя изделия медицинского назначения;</w:t>
      </w:r>
    </w:p>
    <w:p>
      <w:pPr>
        <w:pStyle w:val="Normal"/>
        <w:rPr>
          <w:rFonts w:ascii="Times New Roman" w:hAnsi="Times New Roman"/>
        </w:rPr>
      </w:pPr>
      <w:r>
        <w:rPr/>
        <w:t>3.4. Организатор тендера не предъявляют к потенциальному поставщику квалификационные требования, не предусмотренные Правилами.</w:t>
      </w:r>
    </w:p>
    <w:p>
      <w:pPr>
        <w:pStyle w:val="Heading3"/>
        <w:spacing w:before="280" w:after="280"/>
        <w:rPr/>
      </w:pPr>
      <w:bookmarkStart w:id="21" w:name="__RefHeading___Toc3445_223126817"/>
      <w:bookmarkEnd w:id="21"/>
      <w:r>
        <w:rPr/>
        <w:t>4. Требования к товарам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w:t>
      </w:r>
    </w:p>
    <w:p>
      <w:pPr>
        <w:pStyle w:val="Normal"/>
        <w:ind w:left="0" w:right="0" w:hanging="0"/>
        <w:jc w:val="both"/>
        <w:rPr>
          <w:rFonts w:ascii="Times New Roman" w:hAnsi="Times New Roman"/>
          <w:sz w:val="24"/>
          <w:szCs w:val="24"/>
        </w:rPr>
      </w:pPr>
      <w:bookmarkStart w:id="22" w:name="SUB1300"/>
      <w:bookmarkEnd w:id="22"/>
      <w:r>
        <w:rPr>
          <w:color w:val="000000"/>
          <w:spacing w:val="2"/>
          <w:sz w:val="24"/>
          <w:szCs w:val="24"/>
        </w:rPr>
        <w:tab/>
        <w:t xml:space="preserve">К закупаемым, </w:t>
      </w:r>
      <w:r>
        <w:rPr>
          <w:sz w:val="24"/>
          <w:szCs w:val="24"/>
          <w:lang w:val="kk-KZ"/>
        </w:rPr>
        <w:t>лекарственным средствам</w:t>
      </w:r>
      <w:r>
        <w:rPr>
          <w:color w:val="000000"/>
          <w:spacing w:val="2"/>
          <w:sz w:val="24"/>
          <w:szCs w:val="24"/>
        </w:rPr>
        <w:t>,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 предъявляются следующие требования:</w:t>
        <w:br/>
      </w:r>
      <w:bookmarkStart w:id="23" w:name="z142"/>
      <w:bookmarkEnd w:id="23"/>
      <w:r>
        <w:rPr>
          <w:color w:val="000000"/>
          <w:spacing w:val="2"/>
          <w:sz w:val="24"/>
          <w:szCs w:val="24"/>
        </w:rPr>
        <w:tab/>
        <w:t xml:space="preserve">4.1. </w:t>
      </w:r>
      <w:r>
        <w:rPr>
          <w:rFonts w:eastAsia="Noto Serif CJK SC" w:cs="Lohit Devanagari"/>
          <w:color w:val="000000"/>
          <w:spacing w:val="2"/>
          <w:kern w:val="2"/>
          <w:sz w:val="24"/>
          <w:szCs w:val="24"/>
          <w:lang w:val="ru-RU" w:eastAsia="zh-CN" w:bidi="hi-IN"/>
        </w:rPr>
        <w:t>наличие государственной регистрации в Республик Казахстан в соответствии с положениями Кодекса и порядке, определенном уполномоченным органом в области здравоохранения, за исключением лекарственных препаратов, изготовленных в аптеках, орфанных препаратов, включенных в переченть орфанных препаратов, утвержденный уполномоченным органом в области здравоохранения, незарегистрированных лекарственных средств, медицинских изделий, ввезенных на территорию Республики Казахстан на основании заключения (разрешительного документа), выданного уполномоченным органом в области здравоохранения, комплектующих входящих в состав изделия или устройства; в случае закупа медицинской техники в специальном транспортном средстве — государствнная регистрация в Республики Казахстан в качестве единого передвижного комплекса.</w:t>
      </w:r>
      <w:bookmarkStart w:id="24" w:name="z143"/>
      <w:bookmarkEnd w:id="24"/>
      <w:r>
        <w:rPr>
          <w:rFonts w:eastAsia="Noto Serif CJK SC" w:cs="Lohit Devanagari"/>
          <w:color w:val="000000"/>
          <w:spacing w:val="2"/>
          <w:kern w:val="2"/>
          <w:sz w:val="24"/>
          <w:szCs w:val="24"/>
          <w:lang w:val="ru-RU" w:eastAsia="zh-CN" w:bidi="hi-IN"/>
        </w:rPr>
        <w:t xml:space="preserve"> </w:t>
      </w:r>
      <w:r>
        <w:rPr>
          <w:color w:val="000000"/>
          <w:spacing w:val="2"/>
          <w:sz w:val="24"/>
          <w:szCs w:val="24"/>
        </w:rPr>
        <w:t>Отсутствие необходимости регистрации подтверждается письмом экспертной организации или уполномоченного органа в области здравоохранения.</w:t>
      </w:r>
    </w:p>
    <w:p>
      <w:pPr>
        <w:pStyle w:val="Normal"/>
        <w:ind w:left="0" w:right="0" w:hanging="0"/>
        <w:jc w:val="both"/>
        <w:rPr>
          <w:rFonts w:ascii="Times New Roman" w:hAnsi="Times New Roman"/>
          <w:sz w:val="24"/>
          <w:szCs w:val="24"/>
        </w:rPr>
      </w:pPr>
      <w:r>
        <w:rPr>
          <w:color w:val="000000"/>
          <w:spacing w:val="2"/>
          <w:sz w:val="24"/>
          <w:szCs w:val="24"/>
        </w:rPr>
        <w:tab/>
        <w:t>4.2. соответствия характеристикам или технической спецификации условиям объявления или приглашения на закуп; При этом допускается превышение предлагаемых функциональных, технических, качественных и экспулатационных характеристик медицинской техники требованиям технической спецификации;</w:t>
      </w:r>
    </w:p>
    <w:p>
      <w:pPr>
        <w:pStyle w:val="Normal"/>
        <w:ind w:left="0" w:right="0" w:firstLine="400"/>
        <w:jc w:val="both"/>
        <w:rPr>
          <w:rFonts w:ascii="Times New Roman" w:hAnsi="Times New Roman"/>
          <w:sz w:val="24"/>
          <w:szCs w:val="24"/>
        </w:rPr>
      </w:pPr>
      <w:bookmarkStart w:id="25" w:name="z145"/>
      <w:bookmarkEnd w:id="25"/>
      <w:r>
        <w:rPr>
          <w:color w:val="000000"/>
          <w:spacing w:val="2"/>
          <w:sz w:val="24"/>
          <w:szCs w:val="24"/>
        </w:rPr>
        <w:t>4.3. непревышение утвержденных уполномоченным органом в области здравоохранения предельных цен по международному непатентованному названию и (или) торговому наименованию (при наличии) с учетом наценки единого дистрибьютора, цены в объявлении или приглашении на закуп, за исключением незарегистрированных лекарственных средств и медицинских изделий, ввезенных на территорию Республики Казахстан на основании заключения (разрешительного документа), выданного уполномоченным органом в области здравоохранения;</w:t>
      </w:r>
    </w:p>
    <w:p>
      <w:pPr>
        <w:pStyle w:val="Normal"/>
        <w:ind w:left="0" w:right="0" w:firstLine="400"/>
        <w:jc w:val="both"/>
        <w:rPr>
          <w:rFonts w:ascii="Times New Roman" w:hAnsi="Times New Roman"/>
          <w:sz w:val="24"/>
          <w:szCs w:val="24"/>
        </w:rPr>
      </w:pPr>
      <w:r>
        <w:rPr>
          <w:color w:val="000000"/>
          <w:spacing w:val="2"/>
          <w:sz w:val="24"/>
          <w:szCs w:val="24"/>
        </w:rPr>
        <w:t>4.4. хранение и транспортирование в условиях, обеспечивающих сохранение их безопасности, эффективности и качества, в соответствии с Правилами хранения и транспортировки лекарственных средств и медицинских изделий, утвержденными уполномоченным органом в области здравоохранения;</w:t>
      </w:r>
    </w:p>
    <w:p>
      <w:pPr>
        <w:pStyle w:val="Normal"/>
        <w:ind w:left="0" w:right="0" w:firstLine="400"/>
        <w:jc w:val="both"/>
        <w:rPr>
          <w:rFonts w:ascii="Times New Roman" w:hAnsi="Times New Roman"/>
          <w:sz w:val="24"/>
          <w:szCs w:val="24"/>
        </w:rPr>
      </w:pPr>
      <w:r>
        <w:rPr>
          <w:color w:val="000000"/>
          <w:spacing w:val="2"/>
          <w:sz w:val="24"/>
          <w:szCs w:val="24"/>
        </w:rPr>
        <w:t>4.5. соответствие маркировки, потребительской упаковки и инструкции по применению лекарственных средств и медицинских изделий требованиям законодательства Республики Казахстан и порядку, установленному уполномоченным органом в области здравоохранения, за исключением случаев ввоза в Республику Казахстан незарегистрированных лекарственных средств и (или) медицинских изделий;</w:t>
      </w:r>
    </w:p>
    <w:p>
      <w:pPr>
        <w:pStyle w:val="Normal"/>
        <w:ind w:left="0" w:right="0" w:firstLine="400"/>
        <w:jc w:val="both"/>
        <w:rPr>
          <w:rFonts w:ascii="Times New Roman" w:hAnsi="Times New Roman"/>
          <w:sz w:val="24"/>
          <w:szCs w:val="24"/>
        </w:rPr>
      </w:pPr>
      <w:r>
        <w:rPr>
          <w:color w:val="000000"/>
          <w:spacing w:val="2"/>
          <w:sz w:val="24"/>
          <w:szCs w:val="24"/>
        </w:rPr>
        <w:t>4.6. новизна медицинской техники, ее неиспользованность и производство в период двадцати четырех месяцев, предшествующих моменту поставки;</w:t>
      </w:r>
    </w:p>
    <w:p>
      <w:pPr>
        <w:pStyle w:val="Normal"/>
        <w:ind w:left="0" w:right="0" w:firstLine="400"/>
        <w:jc w:val="both"/>
        <w:rPr>
          <w:rFonts w:ascii="Times New Roman" w:hAnsi="Times New Roman"/>
          <w:sz w:val="24"/>
          <w:szCs w:val="24"/>
        </w:rPr>
      </w:pPr>
      <w:r>
        <w:rPr>
          <w:color w:val="000000"/>
          <w:spacing w:val="2"/>
          <w:sz w:val="24"/>
          <w:szCs w:val="24"/>
        </w:rPr>
        <w:t>4.7. внесение медицинской техники, относящейся к средствам измерения, в реестр государственной системы единства измерений Республики Казахстан в соответствии с законодательством Республики Казахстан о единстве измерений. Отсутствие необходимости внесения медицинской техники в реестр государственной системы единства измерений Республики Казахстан подтверждается в соответствии с законодательством Республики Казахстан об обеспечении единства измерений;</w:t>
      </w:r>
    </w:p>
    <w:p>
      <w:pPr>
        <w:pStyle w:val="Normal"/>
        <w:ind w:left="0" w:right="0" w:firstLine="400"/>
        <w:jc w:val="both"/>
        <w:rPr>
          <w:rFonts w:ascii="Times New Roman" w:hAnsi="Times New Roman"/>
          <w:sz w:val="24"/>
          <w:szCs w:val="24"/>
        </w:rPr>
      </w:pPr>
      <w:r>
        <w:rPr>
          <w:color w:val="000000"/>
          <w:spacing w:val="2"/>
          <w:sz w:val="24"/>
          <w:szCs w:val="24"/>
        </w:rPr>
        <w:t>4.8. соблюдение количества, качества и сроков поставки или оказания фармацевтической услуги условиям договора.</w:t>
      </w:r>
    </w:p>
    <w:p>
      <w:pPr>
        <w:pStyle w:val="Heading3"/>
        <w:spacing w:before="280" w:after="280"/>
        <w:rPr>
          <w:rFonts w:ascii="Times New Roman" w:hAnsi="Times New Roman"/>
          <w:sz w:val="24"/>
          <w:szCs w:val="24"/>
        </w:rPr>
      </w:pPr>
      <w:bookmarkStart w:id="26" w:name="__RefHeading___Toc9953_2535700000"/>
      <w:bookmarkEnd w:id="26"/>
      <w:r>
        <w:rPr/>
        <w:t>5. Язык тендерной документации</w:t>
      </w:r>
    </w:p>
    <w:p>
      <w:pPr>
        <w:pStyle w:val="TextBody"/>
        <w:rPr>
          <w:rFonts w:ascii="Times New Roman" w:hAnsi="Times New Roman"/>
        </w:rPr>
      </w:pPr>
      <w:r>
        <w:rPr/>
        <w:t>5.1. Тендерная заявка, подготовленная потенциальным поставщиком, а также вся корреспонденция и документы касательно тендерной заявки составляются и представляются на языке в соответствии с законодательством Республики Казахстан. Сопроводительная документация и печатная литература, предоставляемые потенциальным поставщиком, могут быть составлены на другом языке при условии, что к ним будет прилагаться точный, нотариально засвидетельствованный перевод соответствующих разделов на языке тендерной заявки, и в этом случае, в целях интерпретации тендерной заявки, преимущество будут иметь документы, составленные на государственном или русском языке.</w:t>
      </w:r>
    </w:p>
    <w:p>
      <w:pPr>
        <w:pStyle w:val="Heading3"/>
        <w:spacing w:before="280" w:after="280"/>
        <w:rPr/>
      </w:pPr>
      <w:bookmarkStart w:id="27" w:name="__RefHeading___Toc1843_2535700000"/>
      <w:bookmarkEnd w:id="27"/>
      <w:r>
        <w:rPr/>
        <w:t xml:space="preserve">6. </w:t>
      </w:r>
      <w:r>
        <w:rPr>
          <w:lang w:val="ru-RU" w:eastAsia="zh-CN" w:bidi="hi-IN"/>
        </w:rPr>
        <w:t>Требования к оформлению тендерной заявки</w:t>
      </w:r>
    </w:p>
    <w:p>
      <w:pPr>
        <w:pStyle w:val="TextBody"/>
        <w:rPr>
          <w:sz w:val="24"/>
          <w:szCs w:val="24"/>
        </w:rPr>
      </w:pPr>
      <w:r>
        <w:rPr>
          <w:b w:val="false"/>
          <w:i w:val="false"/>
          <w:caps w:val="false"/>
          <w:smallCaps w:val="false"/>
          <w:spacing w:val="0"/>
          <w:sz w:val="24"/>
          <w:szCs w:val="24"/>
        </w:rPr>
        <w:t>6.1.Тендерная заявка состоит из основной части, технической части и гарантийного обеспечения. В случае привлечения соисполнителя, потенциальный поставщик также прилагает к тендерной заявке копии разрешений (уведомлений) либо разрешений (уведомлений) в виде электронного документа, полученных (направленных) в соответствии с Закон Республики Казахстан от 16 мая 2014 года "О разрешениях и уведомлениях", сведения о которых подтверждаются в информационных системах государственных органов, подтверждающих права соисполнителя на осуществление деятельности или действий (операций), а также документы, указанные в подпунктах 19), 20) пункта 64 настоящих Правил.</w:t>
      </w:r>
    </w:p>
    <w:p>
      <w:pPr>
        <w:pStyle w:val="TextBody"/>
        <w:rPr>
          <w:sz w:val="24"/>
          <w:szCs w:val="24"/>
        </w:rPr>
      </w:pPr>
      <w:bookmarkStart w:id="28" w:name="z284"/>
      <w:bookmarkEnd w:id="28"/>
      <w:r>
        <w:rPr>
          <w:b w:val="false"/>
          <w:i w:val="false"/>
          <w:caps w:val="false"/>
          <w:smallCaps w:val="false"/>
          <w:spacing w:val="0"/>
          <w:sz w:val="24"/>
          <w:szCs w:val="24"/>
        </w:rPr>
        <w:t xml:space="preserve">6.2. </w:t>
      </w:r>
      <w:r>
        <w:rPr>
          <w:sz w:val="24"/>
          <w:szCs w:val="24"/>
        </w:rPr>
        <w:t>Основная часть тендерной заявки содержит:</w:t>
      </w:r>
    </w:p>
    <w:p>
      <w:pPr>
        <w:pStyle w:val="TextBody"/>
        <w:rPr>
          <w:sz w:val="24"/>
          <w:szCs w:val="24"/>
        </w:rPr>
      </w:pPr>
      <w:bookmarkStart w:id="29" w:name="z2851"/>
      <w:bookmarkEnd w:id="29"/>
      <w:r>
        <w:rPr>
          <w:b w:val="false"/>
          <w:i w:val="false"/>
          <w:sz w:val="24"/>
          <w:szCs w:val="24"/>
        </w:rPr>
        <w:t>1) заявку на участие в тендере по форме, утвержденной уполномоченным органом в области здравоохранения. На электронном носителе представляется опись прилагаемых к заявке документов по форме, утвержденной уполномоченным органом в области здравоохранения;</w:t>
      </w:r>
    </w:p>
    <w:p>
      <w:pPr>
        <w:pStyle w:val="TextBody"/>
        <w:rPr>
          <w:sz w:val="24"/>
          <w:szCs w:val="24"/>
        </w:rPr>
      </w:pPr>
      <w:bookmarkStart w:id="30" w:name="z286"/>
      <w:bookmarkEnd w:id="30"/>
      <w:r>
        <w:rPr>
          <w:b w:val="false"/>
          <w:i w:val="false"/>
          <w:sz w:val="24"/>
          <w:szCs w:val="24"/>
        </w:rPr>
        <w:t>2) справку о государственной регистрации (перерегистрации) юридического лица или справку об учетной регистрации (перерегистрации) филиала (представительства);</w:t>
      </w:r>
    </w:p>
    <w:p>
      <w:pPr>
        <w:pStyle w:val="TextBody"/>
        <w:rPr>
          <w:sz w:val="24"/>
          <w:szCs w:val="24"/>
        </w:rPr>
      </w:pPr>
      <w:bookmarkStart w:id="31" w:name="z287"/>
      <w:bookmarkEnd w:id="31"/>
      <w:r>
        <w:rPr>
          <w:b w:val="false"/>
          <w:i w:val="false"/>
          <w:sz w:val="24"/>
          <w:szCs w:val="24"/>
        </w:rPr>
        <w:t>3) копию устава для юридического лица (в случае, если в уставе не указан состав учредителей, участников или акционеров, также представляется выписка о составе учредителей, участников или копия учредительного договора, или выписка из реестра действующих держателей акций после даты объявления);</w:t>
      </w:r>
    </w:p>
    <w:p>
      <w:pPr>
        <w:pStyle w:val="TextBody"/>
        <w:rPr>
          <w:sz w:val="24"/>
          <w:szCs w:val="24"/>
        </w:rPr>
      </w:pPr>
      <w:bookmarkStart w:id="32" w:name="z288"/>
      <w:bookmarkEnd w:id="32"/>
      <w:r>
        <w:rPr>
          <w:b w:val="false"/>
          <w:i w:val="false"/>
          <w:sz w:val="24"/>
          <w:szCs w:val="24"/>
        </w:rPr>
        <w:t>4) копию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копию документа, удостоверяющего личность;</w:t>
      </w:r>
    </w:p>
    <w:p>
      <w:pPr>
        <w:pStyle w:val="TextBody"/>
        <w:rPr/>
      </w:pPr>
      <w:bookmarkStart w:id="33" w:name="z289"/>
      <w:bookmarkEnd w:id="33"/>
      <w:r>
        <w:rPr>
          <w:b w:val="false"/>
          <w:i w:val="false"/>
          <w:caps w:val="false"/>
          <w:smallCaps w:val="false"/>
          <w:color w:val="000000"/>
          <w:spacing w:val="0"/>
          <w:sz w:val="24"/>
          <w:szCs w:val="24"/>
        </w:rPr>
        <w:t>5) копии соответствующих лицензий на фармацевтическую деятельность и (или) на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в соответствии с Законом "О разрешениях и уведомлениях",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нотариально удостоверенную копию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полученных в соответствии с Законом "О разрешениях и уведомлениях";</w:t>
      </w:r>
    </w:p>
    <w:p>
      <w:pPr>
        <w:pStyle w:val="TextBody"/>
        <w:rPr>
          <w:sz w:val="24"/>
          <w:szCs w:val="24"/>
        </w:rPr>
      </w:pPr>
      <w:bookmarkStart w:id="34" w:name="z290"/>
      <w:bookmarkEnd w:id="34"/>
      <w:r>
        <w:rPr>
          <w:b w:val="false"/>
          <w:i w:val="false"/>
          <w:sz w:val="24"/>
          <w:szCs w:val="24"/>
        </w:rPr>
        <w:t>6) сведения об отсутствии (наличии) задолженности, учет по которым ведется в органах государственных доходов, полученные посредством веб-портала "электронного правительства" или веб-приложения "кабинет налогоплательщика" не ранее одного месяца, предшествующего дате вскрытия конвертов;</w:t>
      </w:r>
    </w:p>
    <w:p>
      <w:pPr>
        <w:pStyle w:val="TextBody"/>
        <w:rPr>
          <w:sz w:val="24"/>
          <w:szCs w:val="24"/>
        </w:rPr>
      </w:pPr>
      <w:bookmarkStart w:id="35" w:name="z291"/>
      <w:bookmarkEnd w:id="35"/>
      <w:r>
        <w:rPr>
          <w:b w:val="false"/>
          <w:i w:val="false"/>
          <w:sz w:val="24"/>
          <w:szCs w:val="24"/>
        </w:rPr>
        <w:t>7) копии сертификатов (при наличии):</w:t>
      </w:r>
    </w:p>
    <w:p>
      <w:pPr>
        <w:pStyle w:val="TextBody"/>
        <w:rPr>
          <w:sz w:val="24"/>
          <w:szCs w:val="24"/>
        </w:rPr>
      </w:pPr>
      <w:r>
        <w:rPr>
          <w:b w:val="false"/>
          <w:i w:val="false"/>
          <w:sz w:val="24"/>
          <w:szCs w:val="24"/>
        </w:rPr>
        <w:t>- о соответствии объекта и производства требованиям надлежащей производственной практики (GMP);</w:t>
      </w:r>
    </w:p>
    <w:p>
      <w:pPr>
        <w:pStyle w:val="TextBody"/>
        <w:rPr>
          <w:sz w:val="24"/>
          <w:szCs w:val="24"/>
        </w:rPr>
      </w:pPr>
      <w:r>
        <w:rPr>
          <w:b w:val="false"/>
          <w:i w:val="false"/>
          <w:sz w:val="24"/>
          <w:szCs w:val="24"/>
        </w:rPr>
        <w:t>- о соответствии объекта требованиям надлежащей дистрибьюторской практики (GDP);</w:t>
      </w:r>
    </w:p>
    <w:p>
      <w:pPr>
        <w:pStyle w:val="TextBody"/>
        <w:rPr>
          <w:sz w:val="24"/>
          <w:szCs w:val="24"/>
        </w:rPr>
      </w:pPr>
      <w:r>
        <w:rPr>
          <w:b w:val="false"/>
          <w:i w:val="false"/>
          <w:sz w:val="24"/>
          <w:szCs w:val="24"/>
        </w:rPr>
        <w:t>- о соответствии объекта требованиям надлежащей аптечной практики (GPP);</w:t>
      </w:r>
    </w:p>
    <w:p>
      <w:pPr>
        <w:pStyle w:val="TextBody"/>
        <w:rPr>
          <w:sz w:val="24"/>
          <w:szCs w:val="24"/>
        </w:rPr>
      </w:pPr>
      <w:bookmarkStart w:id="36" w:name="z292"/>
      <w:bookmarkEnd w:id="36"/>
      <w:r>
        <w:rPr>
          <w:b w:val="false"/>
          <w:i w:val="false"/>
          <w:sz w:val="24"/>
          <w:szCs w:val="24"/>
        </w:rPr>
        <w:t>8) ценовое предложение по форме, утверждённой уполномоченным органом в области здравоохранения;</w:t>
      </w:r>
    </w:p>
    <w:p>
      <w:pPr>
        <w:pStyle w:val="TextBody"/>
        <w:jc w:val="left"/>
        <w:rPr>
          <w:sz w:val="24"/>
          <w:szCs w:val="24"/>
        </w:rPr>
      </w:pPr>
      <w:r>
        <w:rPr>
          <w:b w:val="false"/>
          <w:i w:val="false"/>
          <w:sz w:val="24"/>
          <w:szCs w:val="24"/>
        </w:rPr>
        <w:t>9) оригинал документа, подтверждающего внесение гарантийного обеспечения тендерной заявки. оригинал документа, подтверждающего внесение гарантийного обеспечения тендерной заявки;</w:t>
      </w:r>
    </w:p>
    <w:p>
      <w:pPr>
        <w:pStyle w:val="TextBody"/>
        <w:rPr>
          <w:sz w:val="24"/>
          <w:szCs w:val="24"/>
        </w:rPr>
      </w:pPr>
      <w:bookmarkStart w:id="37" w:name="z3081"/>
      <w:bookmarkEnd w:id="37"/>
      <w:r>
        <w:rPr>
          <w:sz w:val="24"/>
          <w:szCs w:val="24"/>
        </w:rPr>
        <w:t>6.3. Техническая часть тендерной заявки содержит:</w:t>
      </w:r>
    </w:p>
    <w:p>
      <w:pPr>
        <w:pStyle w:val="TextBody"/>
        <w:rPr>
          <w:sz w:val="24"/>
          <w:szCs w:val="24"/>
        </w:rPr>
      </w:pPr>
      <w:bookmarkStart w:id="38" w:name="z3091"/>
      <w:bookmarkEnd w:id="38"/>
      <w:r>
        <w:rPr>
          <w:b w:val="false"/>
          <w:i w:val="false"/>
          <w:sz w:val="24"/>
          <w:szCs w:val="24"/>
        </w:rPr>
        <w:t>1) технические спецификации с указанием точных технических характеристик заявленных лекарственных средств и (или) медицинских изделий, фармацевтической услуги на бумажном носителе (при заявлении медицинской техники, также на электронном носителе в формате docx);</w:t>
      </w:r>
    </w:p>
    <w:p>
      <w:pPr>
        <w:pStyle w:val="TextBody"/>
        <w:rPr>
          <w:sz w:val="24"/>
          <w:szCs w:val="24"/>
        </w:rPr>
      </w:pPr>
      <w:bookmarkStart w:id="39" w:name="z3101"/>
      <w:bookmarkEnd w:id="39"/>
      <w:r>
        <w:rPr>
          <w:b w:val="false"/>
          <w:i w:val="false"/>
          <w:sz w:val="24"/>
          <w:szCs w:val="24"/>
        </w:rPr>
        <w:t>2) копию документа о государственной регистрации лекарственного средства и (или) медицинского изделия либо заключения (разрешения) уполномоченного органа в области здравоохранения на ввоз и применение в Республике Казахстан;</w:t>
      </w:r>
    </w:p>
    <w:p>
      <w:pPr>
        <w:pStyle w:val="TextBody"/>
        <w:rPr>
          <w:sz w:val="24"/>
          <w:szCs w:val="24"/>
        </w:rPr>
      </w:pPr>
      <w:r>
        <w:rPr/>
        <w:t>На ввезённые и произведённые на территории Республики Казахстан до истечения срока действия регистрационного удостоверения лекарственные средства и (или) медицинские изделия представляются: копии документа, подтверждающего его ввоз через государственную границу Республики Казахстан, его оприходование потенциальным поставщиком; производство отечественными товаропроизводителем, заключение о безопасности, выданное в установленном законодательством порядке;</w:t>
      </w:r>
    </w:p>
    <w:p>
      <w:pPr>
        <w:pStyle w:val="TextBody"/>
        <w:rPr>
          <w:sz w:val="24"/>
          <w:szCs w:val="24"/>
        </w:rPr>
      </w:pPr>
      <w:r>
        <w:rPr/>
        <w:t>3) при необходимости копию акта санитарно-эпидемиологического обследования о наличии "холодовой цепи" с датой выдачи за один и менее год до даты вскрытия конвертов с заявками, если потенциальным поставщиком не представлен сертификат надлежащей дистрибьюторской практики (GDP) или надлежащей производственной практики (GМP), или надлежащей аптечной практики (GPP).</w:t>
      </w:r>
    </w:p>
    <w:p>
      <w:pPr>
        <w:pStyle w:val="TextBody"/>
        <w:rPr>
          <w:sz w:val="24"/>
          <w:szCs w:val="24"/>
        </w:rPr>
      </w:pPr>
      <w:r>
        <w:rPr/>
        <w:t>6.4. Вместе с тендерной заявкой потенциальный поставщик вносит гарантийное обеспечение в размере одного процента от суммы, выделенной для закупа лекарственных средств, медицинских изделий или фармацевтических услуг.</w:t>
      </w:r>
    </w:p>
    <w:p>
      <w:pPr>
        <w:pStyle w:val="TextBody"/>
        <w:rPr>
          <w:sz w:val="24"/>
          <w:szCs w:val="24"/>
        </w:rPr>
      </w:pPr>
      <w:r>
        <w:rPr/>
        <w:t>6.5. Гарантийное обеспечение тендерной заявки (далее – гарантийное обеспечение) представляется в виде:</w:t>
      </w:r>
    </w:p>
    <w:p>
      <w:pPr>
        <w:pStyle w:val="TextBody"/>
        <w:rPr>
          <w:sz w:val="24"/>
          <w:szCs w:val="24"/>
        </w:rPr>
      </w:pPr>
      <w:r>
        <w:rPr/>
        <w:t>1) гарантийного денежного взноса, который вносится на банковский счет заказчика или организатора закупа либо на счет, предусмотренный Бюджетным кодексом Республики Казахстан для организаторов закупа, являющихся государственными органами и государственными учреждениями;</w:t>
      </w:r>
    </w:p>
    <w:p>
      <w:pPr>
        <w:pStyle w:val="TextBody"/>
        <w:rPr>
          <w:sz w:val="24"/>
          <w:szCs w:val="24"/>
        </w:rPr>
      </w:pPr>
      <w:r>
        <w:rPr/>
        <w:t>2) банковской гарантии по форме, утвержденной уполномоченным органом в области здравоохранения.</w:t>
      </w:r>
    </w:p>
    <w:p>
      <w:pPr>
        <w:pStyle w:val="TextBody"/>
        <w:rPr>
          <w:sz w:val="24"/>
          <w:szCs w:val="24"/>
        </w:rPr>
      </w:pPr>
      <w:r>
        <w:rPr/>
        <w:t>6.6. Потенциальный поставщик при необходимости отзывает заявку в письменной форме до истечения окончательного срока их приема.</w:t>
      </w:r>
    </w:p>
    <w:p>
      <w:pPr>
        <w:pStyle w:val="TextBody"/>
        <w:rPr>
          <w:sz w:val="24"/>
          <w:szCs w:val="24"/>
        </w:rPr>
      </w:pPr>
      <w:r>
        <w:rPr/>
        <w:t>6.7. Не допускается внесение изменений в тендерные заявки после истечения срока представления тендерных заявок.</w:t>
      </w:r>
    </w:p>
    <w:p>
      <w:pPr>
        <w:pStyle w:val="TextBody"/>
        <w:rPr>
          <w:sz w:val="24"/>
          <w:szCs w:val="24"/>
        </w:rPr>
      </w:pPr>
      <w:r>
        <w:rPr/>
        <w:t>6.8. Тендерная заявка печатается либо пишется несмываемыми чернилами, представляется в прошитом и пронумерованном виде, последняя страница скрепляется подписью представителя потенциального поставщика.</w:t>
      </w:r>
    </w:p>
    <w:p>
      <w:pPr>
        <w:pStyle w:val="TextBody"/>
        <w:rPr>
          <w:sz w:val="24"/>
          <w:szCs w:val="24"/>
        </w:rPr>
      </w:pPr>
      <w:r>
        <w:rPr/>
        <w:t>Не допускается внесение в текст тендерной заявки вставок между строками, подтирок или приписок, за исключением случаев необходимости исправления грамматических или арифметических ошибок.</w:t>
      </w:r>
    </w:p>
    <w:p>
      <w:pPr>
        <w:pStyle w:val="TextBody"/>
        <w:rPr>
          <w:sz w:val="24"/>
          <w:szCs w:val="24"/>
        </w:rPr>
      </w:pPr>
      <w:r>
        <w:rPr/>
        <w:t>Техническая спецификация представляется в прошитом и пронумерованном виде, последняя страница скрепляется подписью представителя потенциального поставщика.</w:t>
      </w:r>
    </w:p>
    <w:p>
      <w:pPr>
        <w:pStyle w:val="TextBody"/>
        <w:rPr>
          <w:sz w:val="24"/>
          <w:szCs w:val="24"/>
        </w:rPr>
      </w:pPr>
      <w:r>
        <w:rPr/>
        <w:t>Техническая спецификация тендерной заявки и оригинал гарантийного обеспечения закупа прикладываются к тендерной заявке отдельно и запечатываются с тендерной заявкой в один конверт.</w:t>
      </w:r>
    </w:p>
    <w:p>
      <w:pPr>
        <w:pStyle w:val="TextBody"/>
        <w:rPr>
          <w:sz w:val="24"/>
          <w:szCs w:val="24"/>
        </w:rPr>
      </w:pPr>
      <w:r>
        <w:rPr/>
        <w:t xml:space="preserve">Конверт содержит наименование и юридический адрес потенциального поставщика, подлежит адресации заказчику или организатору закупа по адресу, указанному в тендерной документации, и содержит слова </w:t>
      </w:r>
      <w:r>
        <w:rPr>
          <w:b/>
          <w:bCs/>
        </w:rPr>
        <w:t>"Тендер №2 по закупу Медицинское оборудование для родильного отделения"</w:t>
      </w:r>
      <w:r>
        <w:rPr/>
        <w:t xml:space="preserve"> и </w:t>
      </w:r>
      <w:r>
        <w:rPr>
          <w:b/>
          <w:bCs/>
        </w:rPr>
        <w:t>"Не вскрывать до 11 часов 00 минут 9 октября 2021 года"</w:t>
      </w:r>
      <w:r>
        <w:rPr/>
        <w:t>.</w:t>
      </w:r>
      <w:r>
        <w:rPr>
          <w:rStyle w:val="S0"/>
          <w:sz w:val="24"/>
          <w:szCs w:val="24"/>
        </w:rPr>
        <w:t xml:space="preserve"> </w:t>
      </w:r>
    </w:p>
    <w:p>
      <w:pPr>
        <w:pStyle w:val="TextBody"/>
        <w:rPr>
          <w:sz w:val="24"/>
          <w:szCs w:val="24"/>
        </w:rPr>
      </w:pPr>
      <w:r>
        <w:rPr>
          <w:sz w:val="24"/>
          <w:szCs w:val="24"/>
        </w:rPr>
        <w:t>6.9. Тендерные заявки представляются потенциальными поставщиками либо их уполномоченными представителями организатору тендера нарочно или с использованием заказной почтовой связи по адресу:</w:t>
      </w:r>
      <w:r>
        <w:rPr>
          <w:color w:val="000000"/>
          <w:sz w:val="24"/>
          <w:szCs w:val="24"/>
        </w:rPr>
        <w:t xml:space="preserve"> </w:t>
      </w:r>
      <w:r>
        <w:rPr>
          <w:b/>
          <w:color w:val="000000"/>
          <w:sz w:val="24"/>
          <w:szCs w:val="24"/>
        </w:rPr>
        <w:t>Восточно-Казахстанская область, Бородулихинский район, село Бородулиха, улица Ф.Середина, 66, приемная главного врача</w:t>
      </w:r>
      <w:r>
        <w:rPr>
          <w:i/>
          <w:sz w:val="24"/>
          <w:szCs w:val="24"/>
        </w:rPr>
        <w:t xml:space="preserve"> </w:t>
      </w:r>
      <w:r>
        <w:rPr>
          <w:sz w:val="24"/>
          <w:szCs w:val="24"/>
        </w:rPr>
        <w:t xml:space="preserve">в срок до </w:t>
      </w:r>
      <w:r>
        <w:rPr>
          <w:i w:val="false"/>
          <w:iCs w:val="false"/>
          <w:sz w:val="24"/>
          <w:szCs w:val="24"/>
          <w:highlight w:val="yellow"/>
          <w:u w:val="single"/>
        </w:rPr>
        <w:t xml:space="preserve"> </w:t>
      </w:r>
      <w:r>
        <w:rPr>
          <w:b/>
          <w:bCs/>
          <w:i w:val="false"/>
          <w:iCs w:val="false"/>
          <w:sz w:val="24"/>
          <w:szCs w:val="24"/>
          <w:highlight w:val="yellow"/>
          <w:u w:val="single"/>
        </w:rPr>
        <w:t>09</w:t>
      </w:r>
      <w:r>
        <w:rPr>
          <w:b/>
          <w:i w:val="false"/>
          <w:iCs w:val="false"/>
          <w:sz w:val="24"/>
          <w:szCs w:val="24"/>
          <w:highlight w:val="yellow"/>
          <w:u w:val="single"/>
        </w:rPr>
        <w:t xml:space="preserve"> часов 5 минут «12 октября» октября  2021 года</w:t>
      </w:r>
      <w:r>
        <w:rPr>
          <w:i w:val="false"/>
          <w:iCs w:val="false"/>
          <w:sz w:val="24"/>
          <w:szCs w:val="24"/>
        </w:rPr>
        <w:t xml:space="preserve"> вкл</w:t>
      </w:r>
      <w:r>
        <w:rPr>
          <w:sz w:val="24"/>
          <w:szCs w:val="24"/>
        </w:rPr>
        <w:t>ючительно.</w:t>
      </w:r>
    </w:p>
    <w:p>
      <w:pPr>
        <w:pStyle w:val="TextBody"/>
        <w:rPr>
          <w:sz w:val="24"/>
          <w:szCs w:val="24"/>
        </w:rPr>
      </w:pPr>
      <w:r>
        <w:rPr>
          <w:color w:val="000000"/>
          <w:sz w:val="24"/>
          <w:szCs w:val="24"/>
        </w:rPr>
        <w:t xml:space="preserve">Окончательный срок предоставления тендерных заявок – </w:t>
      </w:r>
      <w:r>
        <w:rPr>
          <w:b/>
          <w:sz w:val="24"/>
          <w:szCs w:val="24"/>
          <w:highlight w:val="yellow"/>
        </w:rPr>
        <w:t>до 09 часов 5 минут 12  октября 2021 года.</w:t>
      </w:r>
      <w:r>
        <w:rPr>
          <w:b/>
          <w:sz w:val="24"/>
          <w:szCs w:val="24"/>
        </w:rPr>
        <w:tab/>
      </w:r>
    </w:p>
    <w:p>
      <w:pPr>
        <w:pStyle w:val="TextBody"/>
        <w:rPr>
          <w:sz w:val="24"/>
          <w:szCs w:val="24"/>
        </w:rPr>
      </w:pPr>
      <w:r>
        <w:rPr>
          <w:sz w:val="24"/>
          <w:szCs w:val="24"/>
        </w:rPr>
      </w:r>
    </w:p>
    <w:p>
      <w:pPr>
        <w:pStyle w:val="Heading3"/>
        <w:spacing w:before="280" w:after="280"/>
        <w:rPr>
          <w:shd w:fill="FFFF00" w:val="clear"/>
        </w:rPr>
      </w:pPr>
      <w:bookmarkStart w:id="40" w:name="__RefHeading___Toc9955_2535700000"/>
      <w:bookmarkEnd w:id="40"/>
      <w:r>
        <w:rPr>
          <w:shd w:fill="FFFF00" w:val="clear"/>
        </w:rPr>
        <w:t>7. Разъяснение организатором тендера положений тендерной документации потенциальным поставщикам, получившим ее копию</w:t>
      </w:r>
    </w:p>
    <w:p>
      <w:pPr>
        <w:pStyle w:val="TextBody"/>
        <w:rPr>
          <w:rFonts w:ascii="Times New Roman" w:hAnsi="Times New Roman"/>
          <w:sz w:val="24"/>
          <w:szCs w:val="24"/>
        </w:rPr>
      </w:pPr>
      <w:bookmarkStart w:id="41" w:name="z2761"/>
      <w:bookmarkEnd w:id="41"/>
      <w:r>
        <w:rPr>
          <w:b w:val="false"/>
          <w:bCs w:val="false"/>
          <w:i w:val="false"/>
          <w:caps w:val="false"/>
          <w:smallCaps w:val="false"/>
          <w:color w:val="000000"/>
          <w:spacing w:val="0"/>
          <w:sz w:val="24"/>
          <w:szCs w:val="24"/>
        </w:rPr>
        <w:t>7.1. Не позднее чем за десять календарных дней до истечения окончательного срока приема тендерных заявок при необходимости потенциальный поставщик обращается к заказчику, организатору закупа за разъяснениями по тендерной документации, на которые заказчик или организатор закупа не позднее трех рабочих дней со дня получения запроса дает разъяснение, направляемое всем потенциальным поставщикам, получившим тендерную документацию, на дату поступления запроса без указания автора запроса.</w:t>
      </w:r>
    </w:p>
    <w:p>
      <w:pPr>
        <w:pStyle w:val="TextBody"/>
        <w:rPr>
          <w:rFonts w:ascii="Times New Roman" w:hAnsi="Times New Roman"/>
          <w:sz w:val="24"/>
          <w:szCs w:val="24"/>
        </w:rPr>
      </w:pPr>
      <w:r>
        <w:rPr>
          <w:b w:val="false"/>
          <w:bCs w:val="false"/>
          <w:i w:val="false"/>
          <w:caps w:val="false"/>
          <w:smallCaps w:val="false"/>
          <w:color w:val="000000"/>
          <w:spacing w:val="0"/>
          <w:sz w:val="24"/>
          <w:szCs w:val="24"/>
        </w:rPr>
        <w:t>7.2. В срок не позднее семи календарных дней до истечения окончательного срока приема тендерных заявок заказчик или организатор закупа при необходимости по собственной инициативе или в ответ на запросы потенциальных поставщиков вносят изменения в тендерную документацию, о чем незамедлительно сообщается всем потенциальным поставщикам, представившим тендерные заявки или получившим тендерную документацию. При этом окончательный срок приема тендерных заявок продлевается на срок не менее пяти календарных дней.</w:t>
      </w:r>
    </w:p>
    <w:p>
      <w:pPr>
        <w:pStyle w:val="TextBody"/>
        <w:rPr>
          <w:rFonts w:ascii="Times New Roman" w:hAnsi="Times New Roman"/>
          <w:sz w:val="24"/>
          <w:szCs w:val="24"/>
        </w:rPr>
      </w:pPr>
      <w:r>
        <w:rPr>
          <w:b w:val="false"/>
          <w:bCs w:val="false"/>
          <w:i w:val="false"/>
          <w:caps w:val="false"/>
          <w:smallCaps w:val="false"/>
          <w:color w:val="000000"/>
          <w:spacing w:val="0"/>
          <w:sz w:val="24"/>
          <w:szCs w:val="24"/>
        </w:rPr>
        <w:t>7.3. Заказчик или организатор закупа при необходимости проводит встречу с потенциальными поставщиками для разъяснения условий тендера в месте и время, определенные тендерной документацией, о чем составляется протокол, включающий сведения о ходе и содержании встречи, который направляется всем потенциальным поставщикам, представившим тендерные заявки или получившим тендерную документацию.</w:t>
      </w:r>
    </w:p>
    <w:p>
      <w:pPr>
        <w:pStyle w:val="TextBody"/>
        <w:rPr>
          <w:rFonts w:ascii="Times New Roman" w:hAnsi="Times New Roman"/>
          <w:sz w:val="24"/>
          <w:szCs w:val="24"/>
        </w:rPr>
      </w:pPr>
      <w:r>
        <w:rPr>
          <w:rFonts w:eastAsia="Noto Serif CJK SC" w:cs="Lohit Devanagari"/>
          <w:b w:val="false"/>
          <w:bCs w:val="false"/>
          <w:color w:val="000000"/>
          <w:kern w:val="2"/>
          <w:sz w:val="24"/>
          <w:szCs w:val="24"/>
          <w:lang w:val="ru-RU" w:eastAsia="zh-CN" w:bidi="hi-IN"/>
        </w:rPr>
        <w:t xml:space="preserve">7.2. </w:t>
      </w:r>
      <w:r>
        <w:rPr>
          <w:b w:val="false"/>
          <w:bCs w:val="false"/>
          <w:i w:val="false"/>
          <w:iCs w:val="false"/>
          <w:sz w:val="24"/>
          <w:szCs w:val="24"/>
        </w:rPr>
        <w:t>Запросы потенциальных</w:t>
      </w:r>
      <w:r>
        <w:rPr>
          <w:b w:val="false"/>
          <w:bCs w:val="false"/>
          <w:sz w:val="24"/>
          <w:szCs w:val="24"/>
        </w:rPr>
        <w:t xml:space="preserve"> поставщиков необходимо направлять по следующим реквизитам организатора закупок:  </w:t>
      </w:r>
      <w:r>
        <w:rPr>
          <w:b w:val="false"/>
          <w:bCs w:val="false"/>
          <w:sz w:val="24"/>
          <w:szCs w:val="24"/>
          <w:highlight w:val="yellow"/>
        </w:rPr>
        <w:t xml:space="preserve">БИН 080640019859, ИИК KZ478562203112298454, БИК  KCJBKZKX, КБЕ 15, АО "Банк ЦентрКредит", </w:t>
      </w:r>
      <w:r>
        <w:rPr>
          <w:b w:val="false"/>
          <w:bCs w:val="false"/>
          <w:color w:val="000000"/>
          <w:sz w:val="24"/>
          <w:szCs w:val="24"/>
          <w:highlight w:val="yellow"/>
        </w:rPr>
        <w:t>по адресу:  Восточно-Казахстанская область, Бородулихинский район, село Бородулиха, улица Ф.Середина, 66, приемная главного врача.</w:t>
      </w:r>
      <w:r>
        <w:rPr>
          <w:b w:val="false"/>
          <w:bCs w:val="false"/>
          <w:color w:val="000000"/>
          <w:sz w:val="24"/>
          <w:szCs w:val="24"/>
        </w:rPr>
        <w:tab/>
      </w:r>
    </w:p>
    <w:p>
      <w:pPr>
        <w:pStyle w:val="Heading3"/>
        <w:spacing w:before="280" w:after="280"/>
        <w:rPr/>
      </w:pPr>
      <w:bookmarkStart w:id="42" w:name="__RefHeading___Toc9957_2535700000"/>
      <w:bookmarkEnd w:id="42"/>
      <w:r>
        <w:rPr/>
        <w:t>8. Порядок, форму и сроки внесения гарантийного</w:t>
        <w:br/>
        <w:t>обеспечения тендерной заявки</w:t>
      </w:r>
    </w:p>
    <w:p>
      <w:pPr>
        <w:pStyle w:val="Normal"/>
        <w:jc w:val="both"/>
        <w:rPr/>
      </w:pPr>
      <w:r>
        <w:rPr>
          <w:sz w:val="24"/>
          <w:szCs w:val="24"/>
        </w:rPr>
        <w:t xml:space="preserve">8.1. Вместе с тендерной заявкой потенциальный поставщик вносит гарантийное </w:t>
      </w:r>
      <w:r>
        <w:rPr/>
        <w:t>обеспечение в размере одного процента от суммы, выделенной для закупа товаров</w:t>
      </w:r>
      <w:bookmarkStart w:id="43" w:name="z269"/>
      <w:bookmarkEnd w:id="43"/>
      <w:r>
        <w:rPr/>
        <w:t>.</w:t>
      </w:r>
    </w:p>
    <w:p>
      <w:pPr>
        <w:pStyle w:val="Normal"/>
        <w:jc w:val="both"/>
        <w:rPr/>
      </w:pPr>
      <w:r>
        <w:rPr/>
        <w:t>8.2. Гарантийное обеспечение тендерной заявки (далее - гарантийное обеспечение) представляется в виде:</w:t>
      </w:r>
    </w:p>
    <w:p>
      <w:pPr>
        <w:pStyle w:val="Normal"/>
        <w:jc w:val="both"/>
        <w:rPr/>
      </w:pPr>
      <w:r>
        <w:rPr/>
        <w:t>1) гарантийного денежного взноса, который вносится на банковский счет заказчика или организатора закупа либо на счет, предусмотренный бюджетным законодательством Республики Казахстан для организаторов закупа, являющихся государственными органами и государственными учреждениями;</w:t>
      </w:r>
    </w:p>
    <w:p>
      <w:pPr>
        <w:pStyle w:val="Normal"/>
        <w:jc w:val="both"/>
        <w:rPr/>
      </w:pPr>
      <w:r>
        <w:rPr/>
        <w:t>2) банковской гарантии по форме, утвержденной уполномоченным органом в области здравоохранения.</w:t>
      </w:r>
    </w:p>
    <w:p>
      <w:pPr>
        <w:pStyle w:val="Normal"/>
        <w:jc w:val="both"/>
        <w:rPr/>
      </w:pPr>
      <w:r>
        <w:rPr/>
        <w:t>8.3. Гарантийное обеспечение тендерной заявки в виде залога денег вносится потенциальным поставщиком на следующий счет организатора тендера:</w:t>
      </w:r>
    </w:p>
    <w:p>
      <w:pPr>
        <w:pStyle w:val="Normal"/>
        <w:rPr/>
      </w:pPr>
      <w:r>
        <w:rPr/>
        <w:t>КГП на ПХВ «</w:t>
      </w:r>
      <w:r>
        <w:rPr>
          <w:rFonts w:eastAsia="Noto Serif CJK SC" w:cs="Lohit Devanagari"/>
          <w:color w:val="auto"/>
          <w:kern w:val="2"/>
          <w:sz w:val="24"/>
          <w:szCs w:val="24"/>
          <w:lang w:val="ru-RU" w:eastAsia="zh-CN" w:bidi="hi-IN"/>
        </w:rPr>
        <w:t>Районная больница Бородулихинского района</w:t>
      </w:r>
      <w:r>
        <w:rPr/>
        <w:t>» УЗ ВКО</w:t>
      </w:r>
    </w:p>
    <w:p>
      <w:pPr>
        <w:pStyle w:val="Normal"/>
        <w:rPr/>
      </w:pPr>
      <w:r>
        <w:rPr/>
        <w:t>Восточно-Казахстанская область, село Бородулиха, улица Ф.Середина, 66</w:t>
      </w:r>
    </w:p>
    <w:p>
      <w:pPr>
        <w:pStyle w:val="Normal"/>
        <w:rPr/>
      </w:pPr>
      <w:r>
        <w:rPr/>
        <w:t xml:space="preserve">БИН  </w:t>
      </w:r>
      <w:r>
        <w:rPr>
          <w:b w:val="false"/>
          <w:bCs w:val="false"/>
        </w:rPr>
        <w:t>080640019859</w:t>
      </w:r>
      <w:r>
        <w:rPr/>
        <w:t xml:space="preserve">                                               </w:t>
      </w:r>
    </w:p>
    <w:p>
      <w:pPr>
        <w:pStyle w:val="Normal"/>
        <w:rPr/>
      </w:pPr>
      <w:r>
        <w:rPr>
          <w:b w:val="false"/>
          <w:bCs w:val="false"/>
          <w:highlight w:val="yellow"/>
        </w:rPr>
        <w:t>ИИК  KZ378562203112298537</w:t>
      </w:r>
    </w:p>
    <w:p>
      <w:pPr>
        <w:pStyle w:val="Normal"/>
        <w:rPr/>
      </w:pPr>
      <w:r>
        <w:rPr/>
        <w:t>БИК KCJBKZKX</w:t>
      </w:r>
    </w:p>
    <w:p>
      <w:pPr>
        <w:pStyle w:val="Normal"/>
        <w:rPr/>
      </w:pPr>
      <w:r>
        <w:rPr/>
        <w:t>КБЕ 15</w:t>
      </w:r>
    </w:p>
    <w:p>
      <w:pPr>
        <w:pStyle w:val="Normal"/>
        <w:rPr>
          <w:rFonts w:ascii="Times New Roman" w:hAnsi="Times New Roman" w:eastAsia="Noto Serif CJK SC" w:cs="Lohit Devanagari"/>
          <w:color w:val="auto"/>
          <w:kern w:val="2"/>
          <w:sz w:val="24"/>
          <w:szCs w:val="24"/>
          <w:lang w:val="ru-RU" w:eastAsia="zh-CN" w:bidi="hi-IN"/>
        </w:rPr>
      </w:pPr>
      <w:r>
        <w:rPr>
          <w:rFonts w:eastAsia="Noto Serif CJK SC" w:cs="Lohit Devanagari"/>
          <w:color w:val="auto"/>
          <w:kern w:val="2"/>
          <w:sz w:val="24"/>
          <w:szCs w:val="24"/>
          <w:lang w:val="ru-RU" w:eastAsia="zh-CN" w:bidi="hi-IN"/>
        </w:rPr>
        <w:t>АО "Банк ЦентрКредит"</w:t>
      </w:r>
    </w:p>
    <w:p>
      <w:pPr>
        <w:pStyle w:val="Normal"/>
        <w:rPr/>
      </w:pPr>
      <w:r>
        <w:rPr/>
        <w:t>8.4. Срок действия гарантийного обеспечения составляет не менее срока действия тендерной заявки.</w:t>
      </w:r>
    </w:p>
    <w:p>
      <w:pPr>
        <w:pStyle w:val="Normal"/>
        <w:rPr/>
      </w:pPr>
      <w:bookmarkStart w:id="44" w:name="z273"/>
      <w:bookmarkEnd w:id="44"/>
      <w:r>
        <w:rPr>
          <w:rFonts w:eastAsia="Noto Serif CJK SC" w:cs="Lohit Devanagari"/>
          <w:color w:val="auto"/>
          <w:kern w:val="2"/>
          <w:sz w:val="24"/>
          <w:szCs w:val="24"/>
          <w:lang w:val="ru-RU" w:eastAsia="zh-CN" w:bidi="hi-IN"/>
        </w:rPr>
        <w:t xml:space="preserve">8.5. </w:t>
      </w:r>
      <w:r>
        <w:rPr>
          <w:rFonts w:eastAsia="Noto Serif CJK SC" w:cs="Lohit Devanagari"/>
          <w:b w:val="false"/>
          <w:i w:val="false"/>
          <w:caps w:val="false"/>
          <w:smallCaps w:val="false"/>
          <w:color w:val="auto"/>
          <w:spacing w:val="0"/>
          <w:kern w:val="2"/>
          <w:sz w:val="24"/>
          <w:szCs w:val="24"/>
          <w:lang w:val="ru-RU" w:eastAsia="zh-CN" w:bidi="hi-IN"/>
        </w:rPr>
        <w:t>Гарантийное обеспечение возвращается потенциальному поставщику в течение пяти рабочих дней в случаях:</w:t>
      </w:r>
    </w:p>
    <w:p>
      <w:pPr>
        <w:pStyle w:val="Normal"/>
        <w:rPr/>
      </w:pPr>
      <w:r>
        <w:rPr/>
        <w:t>1) отзыва тендерной заявки потенциальным поставщиком до истечения окончательного срока их приема;</w:t>
      </w:r>
    </w:p>
    <w:p>
      <w:pPr>
        <w:pStyle w:val="Normal"/>
        <w:rPr/>
      </w:pPr>
      <w:r>
        <w:rPr/>
        <w:t>2) отклонения тендерной заявки по основанию несоответствия положениям тендерной документации;</w:t>
      </w:r>
    </w:p>
    <w:p>
      <w:pPr>
        <w:pStyle w:val="Normal"/>
        <w:rPr/>
      </w:pPr>
      <w:r>
        <w:rPr/>
        <w:t>3) признания победителем тендера другого потенциального поставщика;</w:t>
      </w:r>
    </w:p>
    <w:p>
      <w:pPr>
        <w:pStyle w:val="Normal"/>
        <w:rPr/>
      </w:pPr>
      <w:r>
        <w:rPr/>
        <w:t>4) прекращения процедур закупа без определения победителя тендера;</w:t>
      </w:r>
    </w:p>
    <w:p>
      <w:pPr>
        <w:pStyle w:val="Normal"/>
        <w:rPr/>
      </w:pPr>
      <w:r>
        <w:rPr/>
        <w:t>5) вступления в силу договора закупа и внесения победителем тендера гарантийного обеспечения исполнения договора закупа.</w:t>
      </w:r>
    </w:p>
    <w:p>
      <w:pPr>
        <w:pStyle w:val="Normal"/>
        <w:rPr/>
      </w:pPr>
      <w:bookmarkStart w:id="45" w:name="z280"/>
      <w:bookmarkEnd w:id="45"/>
      <w:r>
        <w:rPr/>
        <w:t>8.6. Гарантийное обеспечение не возвращается потенциальному поставщику, если он:</w:t>
      </w:r>
    </w:p>
    <w:p>
      <w:pPr>
        <w:pStyle w:val="Normal"/>
        <w:rPr/>
      </w:pPr>
      <w:bookmarkStart w:id="46" w:name="z281"/>
      <w:bookmarkEnd w:id="46"/>
      <w:r>
        <w:rPr/>
        <w:t>1) отозвал или изменил тендерную заявку после истечения окончательного срока приема тендерных заявок;</w:t>
      </w:r>
    </w:p>
    <w:p>
      <w:pPr>
        <w:pStyle w:val="Normal"/>
        <w:rPr/>
      </w:pPr>
      <w:bookmarkStart w:id="47" w:name="z282"/>
      <w:bookmarkEnd w:id="47"/>
      <w:r>
        <w:rPr/>
        <w:t>2) победитель уклонился от заключения договора закупа после признания победителем тендера;</w:t>
      </w:r>
    </w:p>
    <w:p>
      <w:pPr>
        <w:pStyle w:val="Normal"/>
        <w:rPr/>
      </w:pPr>
      <w:bookmarkStart w:id="48" w:name="z283"/>
      <w:bookmarkEnd w:id="48"/>
      <w:r>
        <w:rPr/>
        <w:t>3) признан победителем и не внес, либо несвоевременно внес гарантийное обеспечение договора закупа.</w:t>
      </w:r>
    </w:p>
    <w:p>
      <w:pPr>
        <w:pStyle w:val="Heading3"/>
        <w:spacing w:before="280" w:after="280"/>
        <w:rPr/>
      </w:pPr>
      <w:bookmarkStart w:id="49" w:name="__RefHeading___Toc1845_2535700000"/>
      <w:bookmarkEnd w:id="49"/>
      <w:r>
        <w:rPr/>
        <w:t>9. Вскрытие конвертов с тендерными заявками</w:t>
      </w:r>
    </w:p>
    <w:p>
      <w:pPr>
        <w:pStyle w:val="Iauiue"/>
        <w:widowControl/>
        <w:ind w:left="0" w:right="0" w:firstLine="709"/>
        <w:jc w:val="both"/>
        <w:rPr>
          <w:rFonts w:ascii="Times New Roman" w:hAnsi="Times New Roman"/>
          <w:sz w:val="24"/>
          <w:szCs w:val="24"/>
        </w:rPr>
      </w:pPr>
      <w:r>
        <w:rPr>
          <w:rFonts w:ascii="Times New Roman" w:hAnsi="Times New Roman"/>
          <w:color w:val="000000"/>
          <w:sz w:val="24"/>
          <w:szCs w:val="24"/>
        </w:rPr>
        <w:t>9.1. Продолжительность времени между завершением приема тендерных заявок и началом вскрытия конвертов с тендерными заявками не превышает двух часов.</w:t>
      </w:r>
    </w:p>
    <w:p>
      <w:pPr>
        <w:pStyle w:val="Iauiue"/>
        <w:widowControl/>
        <w:ind w:left="0" w:right="0" w:firstLine="709"/>
        <w:jc w:val="both"/>
        <w:rPr>
          <w:rFonts w:ascii="Times New Roman" w:hAnsi="Times New Roman"/>
          <w:sz w:val="24"/>
          <w:szCs w:val="24"/>
        </w:rPr>
      </w:pPr>
      <w:r>
        <w:rPr>
          <w:rFonts w:ascii="Times New Roman" w:hAnsi="Times New Roman"/>
          <w:color w:val="000000"/>
          <w:sz w:val="24"/>
          <w:szCs w:val="24"/>
        </w:rPr>
        <w:t xml:space="preserve">9.1. </w:t>
      </w:r>
      <w:r>
        <w:rPr>
          <w:rFonts w:ascii="Times New Roman" w:hAnsi="Times New Roman"/>
          <w:sz w:val="24"/>
          <w:szCs w:val="24"/>
          <w:lang w:eastAsia="ar-SA"/>
        </w:rPr>
        <w:t xml:space="preserve">Вскрытие конвертов с тендерными заявками производится тендерной комиссией в присутствии всех прибывших потенциальных поставщиков или их уполномоченных представителей </w:t>
      </w:r>
      <w:r>
        <w:rPr>
          <w:rFonts w:ascii="Times New Roman" w:hAnsi="Times New Roman"/>
          <w:color w:val="000000"/>
          <w:sz w:val="24"/>
          <w:szCs w:val="24"/>
        </w:rPr>
        <w:t xml:space="preserve">в </w:t>
      </w:r>
      <w:r>
        <w:rPr>
          <w:rFonts w:ascii="Times New Roman" w:hAnsi="Times New Roman"/>
          <w:b/>
          <w:bCs/>
          <w:color w:val="000000"/>
          <w:sz w:val="24"/>
          <w:szCs w:val="24"/>
          <w:highlight w:val="yellow"/>
        </w:rPr>
        <w:t>11:</w:t>
      </w:r>
      <w:r>
        <w:rPr>
          <w:rFonts w:ascii="Times New Roman" w:hAnsi="Times New Roman"/>
          <w:b/>
          <w:color w:val="000000"/>
          <w:sz w:val="24"/>
          <w:szCs w:val="24"/>
          <w:highlight w:val="yellow"/>
        </w:rPr>
        <w:t>00 часов 12 октября 2021 года</w:t>
      </w:r>
      <w:r>
        <w:rPr>
          <w:rFonts w:ascii="Times New Roman" w:hAnsi="Times New Roman"/>
          <w:color w:val="000000"/>
          <w:sz w:val="24"/>
          <w:szCs w:val="24"/>
        </w:rPr>
        <w:t xml:space="preserve">, по адресу: </w:t>
      </w:r>
      <w:r>
        <w:rPr>
          <w:rFonts w:ascii="Times New Roman" w:hAnsi="Times New Roman"/>
          <w:b/>
          <w:bCs/>
          <w:color w:val="000000"/>
          <w:sz w:val="24"/>
          <w:szCs w:val="24"/>
        </w:rPr>
        <w:t>Восточно-Казахстанская область, Бородулихинский район, село Бородулиха, улица Ф.Середина, 66.</w:t>
      </w:r>
    </w:p>
    <w:p>
      <w:pPr>
        <w:pStyle w:val="Iauiue"/>
        <w:widowControl/>
        <w:ind w:left="0" w:right="0" w:firstLine="709"/>
        <w:jc w:val="both"/>
        <w:rPr>
          <w:rFonts w:ascii="Times New Roman" w:hAnsi="Times New Roman"/>
          <w:sz w:val="24"/>
          <w:szCs w:val="24"/>
        </w:rPr>
      </w:pPr>
      <w:r>
        <w:rPr>
          <w:rFonts w:ascii="Times New Roman" w:hAnsi="Times New Roman"/>
          <w:sz w:val="24"/>
          <w:szCs w:val="24"/>
          <w:lang w:eastAsia="ar-SA"/>
        </w:rPr>
        <w:t>9.2. Вскрытию подлежат конверты с заявками потенциальных поставщиков, представленные в сроки и в порядке, установленные в объявлении (уведомлении) организатора тендера и настоящей тендерной документацией.</w:t>
      </w:r>
    </w:p>
    <w:p>
      <w:pPr>
        <w:pStyle w:val="NormalWeb"/>
        <w:spacing w:beforeAutospacing="0" w:before="0" w:afterAutospacing="0" w:after="0"/>
        <w:ind w:left="0" w:right="0" w:firstLine="709"/>
        <w:jc w:val="both"/>
        <w:rPr>
          <w:rFonts w:ascii="Times New Roman" w:hAnsi="Times New Roman"/>
          <w:sz w:val="24"/>
          <w:szCs w:val="24"/>
        </w:rPr>
      </w:pPr>
      <w:r>
        <w:rPr>
          <w:sz w:val="24"/>
          <w:szCs w:val="24"/>
          <w:lang w:eastAsia="ar-SA"/>
        </w:rPr>
        <w:t>9.3. В случае, если на тендер (лот) представлена только одна тендерная заявка, то данная заявка  также вскрывается.</w:t>
        <w:tab/>
        <w:tab/>
        <w:tab/>
        <w:tab/>
        <w:tab/>
        <w:tab/>
        <w:tab/>
        <w:tab/>
        <w:tab/>
        <w:tab/>
        <w:t>9.4. Присутствующие на процедуре вскрытия конвертов с тендерными заявками уполномоченные представители потенциальных поставщиков, подтверждая свое присутствие, должны предъявить документы, подтверждающие их полномочия и зарегистрироваться в журнале регистрации потенциальных поставщиков,</w:t>
      </w:r>
      <w:r>
        <w:rPr>
          <w:sz w:val="24"/>
          <w:szCs w:val="24"/>
        </w:rPr>
        <w:t xml:space="preserve"> Название организатора КГП на ПХВ «Бородулихинская центральная районная больница» УЗ ВКО</w:t>
      </w:r>
      <w:r>
        <w:rPr>
          <w:b/>
          <w:sz w:val="24"/>
          <w:szCs w:val="24"/>
        </w:rPr>
        <w:t xml:space="preserve"> </w:t>
      </w:r>
      <w:r>
        <w:rPr>
          <w:b/>
          <w:i/>
          <w:sz w:val="24"/>
          <w:szCs w:val="24"/>
          <w:u w:val="single"/>
          <w:lang w:eastAsia="ar-SA"/>
        </w:rPr>
        <w:t xml:space="preserve"> </w:t>
      </w:r>
      <w:r>
        <w:rPr>
          <w:b/>
          <w:i/>
          <w:sz w:val="24"/>
          <w:szCs w:val="24"/>
          <w:highlight w:val="yellow"/>
          <w:u w:val="single"/>
          <w:lang w:eastAsia="ar-SA"/>
        </w:rPr>
        <w:t>не позднее 12 октяюря 2021 года до 11 часов 00  минут.</w:t>
      </w:r>
    </w:p>
    <w:p>
      <w:pPr>
        <w:pStyle w:val="Normal"/>
        <w:ind w:left="0" w:right="0" w:firstLine="708"/>
        <w:jc w:val="both"/>
        <w:rPr/>
      </w:pPr>
      <w:r>
        <w:rPr>
          <w:sz w:val="24"/>
          <w:szCs w:val="24"/>
        </w:rPr>
        <w:t>9.5.</w:t>
      </w:r>
      <w:r>
        <w:rPr>
          <w:b/>
          <w:sz w:val="24"/>
          <w:szCs w:val="24"/>
        </w:rPr>
        <w:t xml:space="preserve"> </w:t>
      </w:r>
      <w:r>
        <w:rPr>
          <w:b w:val="false"/>
          <w:bCs w:val="false"/>
          <w:sz w:val="24"/>
          <w:szCs w:val="24"/>
        </w:rPr>
        <w:t>Вскрывая конверты, секретарь тендерной комиссии объявляет наименование и адрес потенциальных поставщиков, от которых поступили тендерные заявки, заявленные цены по каждому лоту, условия поставки и оплаты, порядок отзыва тендерных заявок, информацию о документах, составляющих тендерную заявку, и вносит данные сведения в протокол вскрытия конвертов.</w:t>
      </w:r>
    </w:p>
    <w:p>
      <w:pPr>
        <w:pStyle w:val="Heading3"/>
        <w:spacing w:before="280" w:after="280"/>
        <w:rPr>
          <w:rFonts w:ascii="Times New Roman" w:hAnsi="Times New Roman"/>
          <w:sz w:val="24"/>
          <w:szCs w:val="24"/>
        </w:rPr>
      </w:pPr>
      <w:bookmarkStart w:id="50" w:name="__RefHeading___Toc9959_2535700000"/>
      <w:bookmarkEnd w:id="50"/>
      <w:r>
        <w:rPr/>
        <w:t>10. Порядок условия платежа</w:t>
      </w:r>
    </w:p>
    <w:p>
      <w:pPr>
        <w:pStyle w:val="NoSpacing"/>
        <w:ind w:left="0" w:right="0" w:firstLine="709"/>
        <w:jc w:val="both"/>
        <w:rPr>
          <w:rFonts w:ascii="Times New Roman" w:hAnsi="Times New Roman"/>
          <w:sz w:val="24"/>
          <w:szCs w:val="24"/>
        </w:rPr>
      </w:pPr>
      <w:r>
        <w:rPr>
          <w:rFonts w:ascii="Times New Roman" w:hAnsi="Times New Roman"/>
          <w:sz w:val="24"/>
          <w:szCs w:val="24"/>
        </w:rPr>
        <w:t>10.1. Оплата производится Заказчиком за фактически поставленный объем товара, на основании подписанных уполномоченными представителями Сторон Актов приема-передачи товара. Оплата производится Заказчиком в срок</w:t>
      </w:r>
      <w:r>
        <w:rPr>
          <w:rFonts w:ascii="Times New Roman" w:hAnsi="Times New Roman"/>
          <w:sz w:val="24"/>
          <w:szCs w:val="24"/>
          <w:shd w:fill="FFFF00" w:val="clear"/>
        </w:rPr>
        <w:t xml:space="preserve"> до 31 декабря 2021 года</w:t>
      </w:r>
      <w:r>
        <w:rPr>
          <w:rFonts w:ascii="Times New Roman" w:hAnsi="Times New Roman"/>
          <w:sz w:val="24"/>
          <w:szCs w:val="24"/>
        </w:rPr>
        <w:t xml:space="preserve"> при условии, что товар без дефектов, недостатков и предоставления Поставщиком счета-фактуры и счета на оплату.</w:t>
      </w:r>
    </w:p>
    <w:p>
      <w:pPr>
        <w:pStyle w:val="NoSpacing"/>
        <w:ind w:left="0" w:right="0" w:hanging="0"/>
        <w:jc w:val="both"/>
        <w:rPr>
          <w:rFonts w:ascii="Times New Roman" w:hAnsi="Times New Roman"/>
          <w:sz w:val="24"/>
          <w:szCs w:val="24"/>
        </w:rPr>
      </w:pPr>
      <w:r>
        <w:rPr>
          <w:rFonts w:ascii="Times New Roman" w:hAnsi="Times New Roman"/>
          <w:sz w:val="24"/>
          <w:szCs w:val="24"/>
        </w:rPr>
        <w:tab/>
        <w:t xml:space="preserve">10.2. Потенциальный поставщик может представить альтернативные условия платежа, или другие условия и связанные с ними конкретные ценовые скидки. При этом потенциальный поставщик в своей тендерной заявке должен указать, какую ценовую скидку он может предложить в этом случае. </w:t>
      </w:r>
    </w:p>
    <w:p>
      <w:pPr>
        <w:pStyle w:val="Heading3"/>
        <w:spacing w:before="280" w:after="280"/>
        <w:rPr>
          <w:rFonts w:ascii="Times New Roman" w:hAnsi="Times New Roman"/>
          <w:sz w:val="24"/>
          <w:szCs w:val="24"/>
        </w:rPr>
      </w:pPr>
      <w:bookmarkStart w:id="51" w:name="__RefHeading___Toc1847_2535700000"/>
      <w:bookmarkEnd w:id="51"/>
      <w:r>
        <w:rPr/>
        <w:t>11. Валюта тендерной заявки и платежа</w:t>
      </w:r>
    </w:p>
    <w:p>
      <w:pPr>
        <w:pStyle w:val="Iauiue"/>
        <w:widowControl/>
        <w:ind w:left="0" w:right="0" w:firstLine="709"/>
        <w:jc w:val="both"/>
        <w:rPr>
          <w:rFonts w:ascii="Times New Roman" w:hAnsi="Times New Roman"/>
          <w:sz w:val="24"/>
          <w:szCs w:val="24"/>
        </w:rPr>
      </w:pPr>
      <w:r>
        <w:rPr>
          <w:rFonts w:cs="Times New Roman(K)" w:ascii="Times New Roman" w:hAnsi="Times New Roman"/>
          <w:b w:val="false"/>
          <w:bCs w:val="false"/>
          <w:color w:val="000000"/>
          <w:spacing w:val="2"/>
          <w:sz w:val="24"/>
          <w:szCs w:val="24"/>
          <w:lang w:val="kk-KZ" w:eastAsia="ar-SA"/>
        </w:rPr>
        <w:t>11.1. Цены тендерных заявок потенциальных поставщиков должны быть выражены в тенге.</w:t>
      </w:r>
    </w:p>
    <w:p>
      <w:pPr>
        <w:pStyle w:val="Iauiue"/>
        <w:widowControl/>
        <w:ind w:left="0" w:right="0" w:firstLine="709"/>
        <w:jc w:val="both"/>
        <w:rPr>
          <w:rFonts w:ascii="Times New Roman" w:hAnsi="Times New Roman"/>
          <w:sz w:val="24"/>
          <w:szCs w:val="24"/>
        </w:rPr>
      </w:pPr>
      <w:r>
        <w:rPr>
          <w:rFonts w:cs="Times New Roman(K)" w:ascii="Times New Roman" w:hAnsi="Times New Roman"/>
          <w:b w:val="false"/>
          <w:bCs w:val="false"/>
          <w:color w:val="000000"/>
          <w:spacing w:val="2"/>
          <w:sz w:val="24"/>
          <w:szCs w:val="24"/>
          <w:lang w:val="kk-KZ" w:eastAsia="ar-SA"/>
        </w:rPr>
        <w:t>11.2. Фактическая оплата поставщикам производится в тенге за фактически поставленный товар.</w:t>
      </w:r>
    </w:p>
    <w:p>
      <w:pPr>
        <w:pStyle w:val="Heading3"/>
        <w:spacing w:before="280" w:after="280"/>
        <w:rPr>
          <w:sz w:val="24"/>
          <w:szCs w:val="24"/>
        </w:rPr>
      </w:pPr>
      <w:bookmarkStart w:id="52" w:name="__RefHeading___Toc1849_2535700000"/>
      <w:bookmarkEnd w:id="52"/>
      <w:r>
        <w:rPr/>
        <w:t>12. Оценка и сопоставление тендерных заявок</w:t>
      </w:r>
    </w:p>
    <w:p>
      <w:pPr>
        <w:pStyle w:val="TextBody"/>
        <w:rPr>
          <w:rFonts w:ascii="Times New Roman" w:hAnsi="Times New Roman"/>
          <w:sz w:val="24"/>
          <w:szCs w:val="24"/>
        </w:rPr>
      </w:pPr>
      <w:bookmarkStart w:id="53" w:name="z338"/>
      <w:bookmarkEnd w:id="53"/>
      <w:r>
        <w:rPr>
          <w:b w:val="false"/>
          <w:i w:val="false"/>
          <w:sz w:val="24"/>
          <w:szCs w:val="24"/>
        </w:rPr>
        <w:t>12.1. Тендерная комиссия осуществляет оценку и сопоставление тендерных заявок.</w:t>
      </w:r>
    </w:p>
    <w:p>
      <w:pPr>
        <w:pStyle w:val="TextBody"/>
        <w:rPr>
          <w:rFonts w:ascii="Times New Roman" w:hAnsi="Times New Roman"/>
          <w:sz w:val="24"/>
          <w:szCs w:val="24"/>
        </w:rPr>
      </w:pPr>
      <w:r>
        <w:rPr>
          <w:b w:val="false"/>
          <w:i w:val="false"/>
          <w:sz w:val="24"/>
          <w:szCs w:val="24"/>
        </w:rPr>
        <w:t xml:space="preserve">      </w:t>
      </w:r>
      <w:r>
        <w:rPr>
          <w:b w:val="false"/>
          <w:i w:val="false"/>
          <w:sz w:val="24"/>
          <w:szCs w:val="24"/>
        </w:rPr>
        <w:t>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 размещенную на интернет-ресурсе уполномоченного органа, осуществляющего контроль за проведением процедур банкротства либо ликвидации.</w:t>
      </w:r>
    </w:p>
    <w:p>
      <w:pPr>
        <w:pStyle w:val="TextBody"/>
        <w:rPr>
          <w:rFonts w:ascii="Times New Roman" w:hAnsi="Times New Roman"/>
          <w:sz w:val="24"/>
          <w:szCs w:val="24"/>
        </w:rPr>
      </w:pPr>
      <w:bookmarkStart w:id="54" w:name="z340"/>
      <w:bookmarkEnd w:id="54"/>
      <w:r>
        <w:rPr>
          <w:b w:val="false"/>
          <w:i w:val="false"/>
          <w:sz w:val="24"/>
          <w:szCs w:val="24"/>
        </w:rPr>
        <w:t>12.2. Тендерная комиссия отклоняет тендерную заявку в целом или по лоту в случаях:</w:t>
      </w:r>
    </w:p>
    <w:p>
      <w:pPr>
        <w:pStyle w:val="TextBody"/>
        <w:rPr>
          <w:rFonts w:ascii="Times New Roman" w:hAnsi="Times New Roman"/>
          <w:sz w:val="24"/>
          <w:szCs w:val="24"/>
        </w:rPr>
      </w:pPr>
      <w:bookmarkStart w:id="55" w:name="z341"/>
      <w:bookmarkEnd w:id="55"/>
      <w:r>
        <w:rPr>
          <w:sz w:val="24"/>
          <w:szCs w:val="24"/>
        </w:rPr>
        <w:t>1) непредставления гарантийного обеспечения тендерной заявки в соответствии с требованиями настоящих Правил;</w:t>
      </w:r>
    </w:p>
    <w:p>
      <w:pPr>
        <w:pStyle w:val="TextBody"/>
        <w:rPr>
          <w:rFonts w:ascii="Times New Roman" w:hAnsi="Times New Roman"/>
          <w:sz w:val="24"/>
          <w:szCs w:val="24"/>
        </w:rPr>
      </w:pPr>
      <w:r>
        <w:rPr>
          <w:sz w:val="24"/>
          <w:szCs w:val="24"/>
        </w:rPr>
        <w:t>2) непредставления справки о государственной регистрации (перерегистрации) юридического лица или справки об учетной регистрации (перерегистрации) филиала (представительства);непредставления копии устава или выписки о составе учредителей, участников или выписки из реестра держателей акций или копии учредительного договора в случаях, предусмотренных настоящими Правилами;</w:t>
      </w:r>
    </w:p>
    <w:p>
      <w:pPr>
        <w:pStyle w:val="TextBody"/>
        <w:rPr>
          <w:rFonts w:ascii="Times New Roman" w:hAnsi="Times New Roman"/>
          <w:sz w:val="24"/>
          <w:szCs w:val="24"/>
        </w:rPr>
      </w:pPr>
      <w:r>
        <w:rPr>
          <w:sz w:val="24"/>
          <w:szCs w:val="24"/>
        </w:rPr>
        <w:t>3) непредставления копии устава или выписки о составе учредителей, участников или выписки из реестра держателей акций, или копии учредительного договора в случаях, предусмотренных настоящими Правилами;</w:t>
      </w:r>
    </w:p>
    <w:p>
      <w:pPr>
        <w:pStyle w:val="TextBody"/>
        <w:rPr>
          <w:rFonts w:ascii="Times New Roman" w:hAnsi="Times New Roman"/>
          <w:sz w:val="24"/>
          <w:szCs w:val="24"/>
        </w:rPr>
      </w:pPr>
      <w:bookmarkStart w:id="56" w:name="z344"/>
      <w:bookmarkEnd w:id="56"/>
      <w:r>
        <w:rPr>
          <w:sz w:val="24"/>
          <w:szCs w:val="24"/>
        </w:rPr>
        <w:t>4) непредставления копии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копии документа, удостоверяющего личность (для физического лица, осуществляющего предпринимательскую деятельность);</w:t>
      </w:r>
    </w:p>
    <w:p>
      <w:pPr>
        <w:pStyle w:val="TextBody"/>
        <w:rPr/>
      </w:pPr>
      <w:bookmarkStart w:id="57" w:name="z345"/>
      <w:bookmarkEnd w:id="57"/>
      <w:r>
        <w:rPr>
          <w:b w:val="false"/>
          <w:i w:val="false"/>
          <w:caps w:val="false"/>
          <w:smallCaps w:val="false"/>
          <w:color w:val="000000"/>
          <w:spacing w:val="0"/>
          <w:sz w:val="24"/>
          <w:szCs w:val="24"/>
        </w:rPr>
        <w:t>5) непредставления копий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в соответствии с Законом "О разрешениях и уведомлениях", сведения о которых подтверждаются в информационных системах государственных органов, либо непредставления нотариально удостоверенных копий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полученных в соответствии с Законом "О разрешениях и уведомлениях", в случае отсутствия сведений в информационных системах государственных органов;</w:t>
      </w:r>
    </w:p>
    <w:p>
      <w:pPr>
        <w:pStyle w:val="TextBody"/>
        <w:rPr>
          <w:rFonts w:ascii="Times New Roman" w:hAnsi="Times New Roman"/>
          <w:sz w:val="24"/>
          <w:szCs w:val="24"/>
        </w:rPr>
      </w:pPr>
      <w:bookmarkStart w:id="58" w:name="z346"/>
      <w:bookmarkEnd w:id="58"/>
      <w:r>
        <w:rPr>
          <w:sz w:val="24"/>
          <w:szCs w:val="24"/>
        </w:rPr>
        <w:t>6) непредставления сведений об отсутствии (наличии) задолженности, учет по которым ведется в органах государственных доходов, полученных посредством веб-портала "электронного правительства" или веб-приложения "кабинет налогоплательщика" не ранее одного месяца, предшествующего дате вскрытия конвертов;</w:t>
      </w:r>
    </w:p>
    <w:p>
      <w:pPr>
        <w:pStyle w:val="TextBody"/>
        <w:rPr>
          <w:rFonts w:ascii="Times New Roman" w:hAnsi="Times New Roman"/>
          <w:sz w:val="24"/>
          <w:szCs w:val="24"/>
        </w:rPr>
      </w:pPr>
      <w:bookmarkStart w:id="59" w:name="z347"/>
      <w:bookmarkEnd w:id="59"/>
      <w:r>
        <w:rPr>
          <w:sz w:val="24"/>
          <w:szCs w:val="24"/>
        </w:rPr>
        <w:t>7) наличия в сведениях соответствующего органа государственных доходов информации о задолженности в бюджет, задолженности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(за исключением сумм, по которым изменены сроки уплаты, не отраженных в общей сумме задолженности);</w:t>
      </w:r>
    </w:p>
    <w:p>
      <w:pPr>
        <w:pStyle w:val="TextBody"/>
        <w:rPr>
          <w:rFonts w:ascii="Times New Roman" w:hAnsi="Times New Roman"/>
          <w:sz w:val="24"/>
          <w:szCs w:val="24"/>
        </w:rPr>
      </w:pPr>
      <w:bookmarkStart w:id="60" w:name="z348"/>
      <w:bookmarkEnd w:id="60"/>
      <w:r>
        <w:rPr>
          <w:sz w:val="24"/>
          <w:szCs w:val="24"/>
        </w:rPr>
        <w:t>8) непредставления технической спецификации в соответствии с требованиями настоящих Правил;</w:t>
      </w:r>
    </w:p>
    <w:p>
      <w:pPr>
        <w:pStyle w:val="TextBody"/>
        <w:rPr>
          <w:rFonts w:ascii="Times New Roman" w:hAnsi="Times New Roman"/>
          <w:sz w:val="24"/>
          <w:szCs w:val="24"/>
        </w:rPr>
      </w:pPr>
      <w:bookmarkStart w:id="61" w:name="z349"/>
      <w:bookmarkEnd w:id="61"/>
      <w:r>
        <w:rPr>
          <w:sz w:val="24"/>
          <w:szCs w:val="24"/>
        </w:rPr>
        <w:t>9) представления потенциальным поставщиком технической спецификации, не соответствующей требованиям тендерной документации и настоящих Правил;</w:t>
      </w:r>
    </w:p>
    <w:p>
      <w:pPr>
        <w:pStyle w:val="TextBody"/>
        <w:rPr>
          <w:rFonts w:ascii="Times New Roman" w:hAnsi="Times New Roman"/>
          <w:sz w:val="24"/>
          <w:szCs w:val="24"/>
        </w:rPr>
      </w:pPr>
      <w:bookmarkStart w:id="62" w:name="z350"/>
      <w:bookmarkEnd w:id="62"/>
      <w:r>
        <w:rPr>
          <w:sz w:val="24"/>
          <w:szCs w:val="24"/>
        </w:rPr>
        <w:t>10) установления факта представления недостоверной информации по квалификационным требованиям и требованиям к лекарственным средствам и (или) медицинским изделиям и услугам, приобретаемым в рамках настоящих Правил;</w:t>
      </w:r>
    </w:p>
    <w:p>
      <w:pPr>
        <w:pStyle w:val="TextBody"/>
        <w:rPr>
          <w:rFonts w:ascii="Times New Roman" w:hAnsi="Times New Roman"/>
          <w:sz w:val="24"/>
          <w:szCs w:val="24"/>
        </w:rPr>
      </w:pPr>
      <w:bookmarkStart w:id="63" w:name="z351"/>
      <w:bookmarkEnd w:id="63"/>
      <w:r>
        <w:rPr>
          <w:sz w:val="24"/>
          <w:szCs w:val="24"/>
        </w:rPr>
        <w:t>11) причастности к процедуре банкротства либо ликвидации;</w:t>
      </w:r>
    </w:p>
    <w:p>
      <w:pPr>
        <w:pStyle w:val="TextBody"/>
        <w:rPr>
          <w:rFonts w:ascii="Times New Roman" w:hAnsi="Times New Roman"/>
          <w:sz w:val="24"/>
          <w:szCs w:val="24"/>
        </w:rPr>
      </w:pPr>
      <w:bookmarkStart w:id="64" w:name="z352"/>
      <w:bookmarkEnd w:id="64"/>
      <w:r>
        <w:rPr>
          <w:sz w:val="24"/>
          <w:szCs w:val="24"/>
        </w:rPr>
        <w:t>12) непредставления документов, подтверждающих соответствие предлагаемых лекарственных средств и (или) медицинских изделий, фармацевтических услуг требованиям, предусмотренным главой 4 настоящих Правил;</w:t>
      </w:r>
    </w:p>
    <w:p>
      <w:pPr>
        <w:pStyle w:val="TextBody"/>
        <w:rPr>
          <w:rFonts w:ascii="Times New Roman" w:hAnsi="Times New Roman"/>
          <w:sz w:val="24"/>
          <w:szCs w:val="24"/>
        </w:rPr>
      </w:pPr>
      <w:bookmarkStart w:id="65" w:name="z353"/>
      <w:bookmarkEnd w:id="65"/>
      <w:r>
        <w:rPr>
          <w:sz w:val="24"/>
          <w:szCs w:val="24"/>
        </w:rPr>
        <w:t>13) непредставления при необходимости копии акта санитарно-эпидемиологического обследования о наличии "холодовой цепи", за исключением случаев представления потенциальным поставщиком сертификата надлежащей дистрибьюторской практики (GDP), отечественным товаропроизводителем – сертификата о соответствии объекта требованиям надлежащей производственной практики (GMP), сертификата надлежащей аптечной практики (GPP) при закупе фармацевтических услуг;</w:t>
      </w:r>
    </w:p>
    <w:p>
      <w:pPr>
        <w:pStyle w:val="TextBody"/>
        <w:rPr>
          <w:rFonts w:ascii="Times New Roman" w:hAnsi="Times New Roman"/>
          <w:sz w:val="24"/>
          <w:szCs w:val="24"/>
        </w:rPr>
      </w:pPr>
      <w:bookmarkStart w:id="66" w:name="z354"/>
      <w:bookmarkEnd w:id="66"/>
      <w:r>
        <w:rPr>
          <w:sz w:val="24"/>
          <w:szCs w:val="24"/>
        </w:rPr>
        <w:t>14) если техническая характеристика заявленной медицинской техники не соответствует технической характеристике и (или) комплектации, определенной регистрационным удостоверением и (или) регистрационным досье;</w:t>
      </w:r>
    </w:p>
    <w:p>
      <w:pPr>
        <w:pStyle w:val="TextBody"/>
        <w:rPr>
          <w:rFonts w:ascii="Times New Roman" w:hAnsi="Times New Roman"/>
          <w:sz w:val="24"/>
          <w:szCs w:val="24"/>
        </w:rPr>
      </w:pPr>
      <w:bookmarkStart w:id="67" w:name="z355"/>
      <w:bookmarkEnd w:id="67"/>
      <w:r>
        <w:rPr>
          <w:sz w:val="24"/>
          <w:szCs w:val="24"/>
        </w:rPr>
        <w:t>15) несоответствия требованиям пункта 16 настоящих Правил;</w:t>
      </w:r>
    </w:p>
    <w:p>
      <w:pPr>
        <w:pStyle w:val="TextBody"/>
        <w:rPr>
          <w:rFonts w:ascii="Times New Roman" w:hAnsi="Times New Roman"/>
          <w:sz w:val="24"/>
          <w:szCs w:val="24"/>
        </w:rPr>
      </w:pPr>
      <w:bookmarkStart w:id="68" w:name="z356"/>
      <w:bookmarkEnd w:id="68"/>
      <w:r>
        <w:rPr>
          <w:sz w:val="24"/>
          <w:szCs w:val="24"/>
        </w:rPr>
        <w:t>16) установленных пунктами 22, 29 настоящих Правил;</w:t>
      </w:r>
    </w:p>
    <w:p>
      <w:pPr>
        <w:pStyle w:val="TextBody"/>
        <w:rPr>
          <w:rFonts w:ascii="Times New Roman" w:hAnsi="Times New Roman"/>
          <w:sz w:val="24"/>
          <w:szCs w:val="24"/>
        </w:rPr>
      </w:pPr>
      <w:bookmarkStart w:id="69" w:name="z357"/>
      <w:bookmarkEnd w:id="69"/>
      <w:r>
        <w:rPr>
          <w:sz w:val="24"/>
          <w:szCs w:val="24"/>
        </w:rPr>
        <w:t>17) если тендерная заявка имеет более короткий срок действия, чем указано в условиях тендерной документации;</w:t>
      </w:r>
    </w:p>
    <w:p>
      <w:pPr>
        <w:pStyle w:val="TextBody"/>
        <w:rPr>
          <w:rFonts w:ascii="Times New Roman" w:hAnsi="Times New Roman"/>
          <w:sz w:val="24"/>
          <w:szCs w:val="24"/>
        </w:rPr>
      </w:pPr>
      <w:bookmarkStart w:id="70" w:name="z358"/>
      <w:bookmarkEnd w:id="70"/>
      <w:r>
        <w:rPr>
          <w:sz w:val="24"/>
          <w:szCs w:val="24"/>
        </w:rPr>
        <w:t>18) непредставления ценового предложения либо представления ценового предложения не по форме, утвержденной уполномоченным органом в области здравоохранения;</w:t>
      </w:r>
    </w:p>
    <w:p>
      <w:pPr>
        <w:pStyle w:val="TextBody"/>
        <w:rPr>
          <w:rFonts w:ascii="Times New Roman" w:hAnsi="Times New Roman"/>
          <w:sz w:val="24"/>
          <w:szCs w:val="24"/>
        </w:rPr>
      </w:pPr>
      <w:bookmarkStart w:id="71" w:name="z359"/>
      <w:bookmarkEnd w:id="71"/>
      <w:r>
        <w:rPr>
          <w:sz w:val="24"/>
          <w:szCs w:val="24"/>
        </w:rPr>
        <w:t>19) представления потенциальным поставщиком цены на лекарственное средство и (или) медицинское изделие, превышающей цену, выделенную для закупа по соответствующему лоту, и (или) предельную цену на международное непатентованное наименование и предельную цену на торговое наименование;</w:t>
      </w:r>
    </w:p>
    <w:p>
      <w:pPr>
        <w:pStyle w:val="TextBody"/>
        <w:rPr>
          <w:rFonts w:ascii="Times New Roman" w:hAnsi="Times New Roman"/>
          <w:sz w:val="24"/>
          <w:szCs w:val="24"/>
        </w:rPr>
      </w:pPr>
      <w:bookmarkStart w:id="72" w:name="z360"/>
      <w:bookmarkEnd w:id="72"/>
      <w:r>
        <w:rPr>
          <w:sz w:val="24"/>
          <w:szCs w:val="24"/>
        </w:rPr>
        <w:t>20) представления тендерной заявки в непрошитом виде, с непронумерованными страницами, не скрепленной подписью, без указания на конверте наименования или юридического адреса потенциального поставщика, заказчика или организатора закупа;</w:t>
      </w:r>
    </w:p>
    <w:p>
      <w:pPr>
        <w:pStyle w:val="TextBody"/>
        <w:rPr>
          <w:rFonts w:ascii="Times New Roman" w:hAnsi="Times New Roman"/>
          <w:sz w:val="24"/>
          <w:szCs w:val="24"/>
        </w:rPr>
      </w:pPr>
      <w:bookmarkStart w:id="73" w:name="z361"/>
      <w:bookmarkEnd w:id="73"/>
      <w:r>
        <w:rPr>
          <w:sz w:val="24"/>
          <w:szCs w:val="24"/>
        </w:rPr>
        <w:t>21) несоответствия потенциального поставщика и (или) соисполнителя предъявляемым квалификационным требованиям;</w:t>
      </w:r>
    </w:p>
    <w:p>
      <w:pPr>
        <w:pStyle w:val="TextBody"/>
        <w:rPr>
          <w:rFonts w:ascii="Times New Roman" w:hAnsi="Times New Roman"/>
          <w:sz w:val="24"/>
          <w:szCs w:val="24"/>
        </w:rPr>
      </w:pPr>
      <w:bookmarkStart w:id="74" w:name="z362"/>
      <w:bookmarkEnd w:id="74"/>
      <w:r>
        <w:rPr>
          <w:sz w:val="24"/>
          <w:szCs w:val="24"/>
        </w:rPr>
        <w:t>22) установления факта аффилированности в нарушение требований настоящих Правил.</w:t>
      </w:r>
    </w:p>
    <w:p>
      <w:pPr>
        <w:pStyle w:val="TextBody"/>
        <w:rPr>
          <w:rFonts w:ascii="Times New Roman" w:hAnsi="Times New Roman"/>
          <w:sz w:val="24"/>
          <w:szCs w:val="24"/>
        </w:rPr>
      </w:pPr>
      <w:bookmarkStart w:id="75" w:name="z369"/>
      <w:bookmarkEnd w:id="75"/>
      <w:r>
        <w:rPr>
          <w:b w:val="false"/>
          <w:i w:val="false"/>
          <w:caps w:val="false"/>
          <w:smallCaps w:val="false"/>
          <w:color w:val="000000"/>
          <w:spacing w:val="0"/>
          <w:sz w:val="24"/>
          <w:szCs w:val="24"/>
        </w:rPr>
        <w:t>12.3. Если тендер в целом или какой-либо его лот признаны несостоявшимися, заказчик или организатор закупа изменяют содержание и условия тендера и проводят повторный тендер в соответствии с разделом 2 настоящих Правил.</w:t>
      </w:r>
    </w:p>
    <w:p>
      <w:pPr>
        <w:pStyle w:val="TextBody"/>
        <w:rPr>
          <w:rFonts w:ascii="Times New Roman" w:hAnsi="Times New Roman"/>
          <w:sz w:val="24"/>
          <w:szCs w:val="24"/>
        </w:rPr>
      </w:pPr>
      <w:bookmarkStart w:id="76" w:name="z370"/>
      <w:bookmarkEnd w:id="76"/>
      <w:r>
        <w:rPr>
          <w:b w:val="false"/>
          <w:i w:val="false"/>
          <w:sz w:val="24"/>
          <w:szCs w:val="24"/>
        </w:rPr>
        <w:t>12.4. Если тендер в целом или какой-либо лот признаны несостоявшимися по основанию подачи только одной заявки, соответствующей требованиям тендерной документации, то заказчиком или организатором закупа осуществляется закуп способом из одного источника у потенциального поставщика, подавшего данную заявку.</w:t>
      </w:r>
    </w:p>
    <w:p>
      <w:pPr>
        <w:pStyle w:val="TextBody"/>
        <w:rPr>
          <w:rFonts w:ascii="Times New Roman" w:hAnsi="Times New Roman"/>
          <w:sz w:val="24"/>
          <w:szCs w:val="24"/>
        </w:rPr>
      </w:pPr>
      <w:bookmarkStart w:id="77" w:name="z371"/>
      <w:bookmarkEnd w:id="77"/>
      <w:r>
        <w:rPr>
          <w:b w:val="false"/>
          <w:i w:val="false"/>
          <w:sz w:val="24"/>
          <w:szCs w:val="24"/>
        </w:rPr>
        <w:t>12.5. Закуп способом тендера или его какой-либо лот признаются несостоявшимися по одному из следующих оснований:</w:t>
      </w:r>
    </w:p>
    <w:p>
      <w:pPr>
        <w:pStyle w:val="TextBody"/>
        <w:rPr>
          <w:rFonts w:ascii="Times New Roman" w:hAnsi="Times New Roman"/>
          <w:sz w:val="24"/>
          <w:szCs w:val="24"/>
        </w:rPr>
      </w:pPr>
      <w:bookmarkStart w:id="78" w:name="z372"/>
      <w:bookmarkEnd w:id="78"/>
      <w:r>
        <w:rPr>
          <w:sz w:val="24"/>
          <w:szCs w:val="24"/>
        </w:rPr>
        <w:t>1) отсутствия представленных тендерных заявок;</w:t>
      </w:r>
    </w:p>
    <w:p>
      <w:pPr>
        <w:pStyle w:val="TextBody"/>
        <w:rPr>
          <w:rFonts w:ascii="Times New Roman" w:hAnsi="Times New Roman"/>
          <w:sz w:val="24"/>
          <w:szCs w:val="24"/>
        </w:rPr>
      </w:pPr>
      <w:bookmarkStart w:id="79" w:name="z373"/>
      <w:bookmarkEnd w:id="79"/>
      <w:r>
        <w:rPr>
          <w:sz w:val="24"/>
          <w:szCs w:val="24"/>
        </w:rPr>
        <w:t>2) отклонение всех тендерных заявок потенциальных поставщиков.</w:t>
      </w:r>
    </w:p>
    <w:p>
      <w:pPr>
        <w:pStyle w:val="TextBody"/>
        <w:rPr>
          <w:rFonts w:ascii="Times New Roman" w:hAnsi="Times New Roman"/>
          <w:sz w:val="24"/>
          <w:szCs w:val="24"/>
        </w:rPr>
      </w:pPr>
      <w:bookmarkStart w:id="80" w:name="z376"/>
      <w:bookmarkEnd w:id="80"/>
      <w:r>
        <w:rPr>
          <w:b w:val="false"/>
          <w:i w:val="false"/>
          <w:caps w:val="false"/>
          <w:smallCaps w:val="false"/>
          <w:color w:val="000000"/>
          <w:spacing w:val="0"/>
          <w:sz w:val="24"/>
          <w:szCs w:val="24"/>
        </w:rPr>
        <w:t>12.6. Победитель тендера определяется среди потенциальных поставщиков, тендерные заявки которых признаны тендерной комиссией соответствующими условиям объявления и требованиям настоящих Правил, на основе наименьшего ценового предложения.</w:t>
      </w:r>
    </w:p>
    <w:p>
      <w:pPr>
        <w:pStyle w:val="TextBody"/>
        <w:rPr>
          <w:rFonts w:ascii="Times New Roman" w:hAnsi="Times New Roman"/>
          <w:sz w:val="24"/>
          <w:szCs w:val="24"/>
        </w:rPr>
      </w:pPr>
      <w:r>
        <w:rPr>
          <w:b w:val="false"/>
          <w:i w:val="false"/>
          <w:caps w:val="false"/>
          <w:smallCaps w:val="false"/>
          <w:color w:val="000000"/>
          <w:spacing w:val="0"/>
          <w:sz w:val="24"/>
          <w:szCs w:val="24"/>
        </w:rPr>
        <w:t>В отсутствие конкуренции по лоту или при отклонении тендерных заявок конкурентов по лоту победителем тендера признается потенциальный поставщик, чья тендерная заявка признана тендерной комиссией единственной соответствующей условиям объявления и требованиям настоящих Правил.</w:t>
      </w:r>
    </w:p>
    <w:p>
      <w:pPr>
        <w:pStyle w:val="Heading3"/>
        <w:spacing w:before="280" w:after="280"/>
        <w:rPr>
          <w:rFonts w:ascii="Times New Roman" w:hAnsi="Times New Roman"/>
          <w:sz w:val="24"/>
          <w:szCs w:val="24"/>
        </w:rPr>
      </w:pPr>
      <w:bookmarkStart w:id="81" w:name="__RefHeading___Toc1851_2535700000"/>
      <w:bookmarkEnd w:id="81"/>
      <w:r>
        <w:rPr/>
        <w:t>13. Подведение итогов тендера.</w:t>
      </w:r>
    </w:p>
    <w:p>
      <w:pPr>
        <w:pStyle w:val="TextBody"/>
        <w:rPr>
          <w:rFonts w:ascii="Times New Roman" w:hAnsi="Times New Roman"/>
          <w:sz w:val="24"/>
          <w:szCs w:val="24"/>
        </w:rPr>
      </w:pPr>
      <w:r>
        <w:rPr>
          <w:b w:val="false"/>
          <w:i w:val="false"/>
          <w:sz w:val="24"/>
          <w:szCs w:val="24"/>
        </w:rPr>
        <w:t>13.1. Итоги тендера подводятся в течение десяти календарных дней со дня вскрытия конвертов с тендерными заявками, о чем составляется протокол, в который включаются:</w:t>
      </w:r>
    </w:p>
    <w:p>
      <w:pPr>
        <w:pStyle w:val="TextBody"/>
        <w:rPr>
          <w:rFonts w:ascii="Times New Roman" w:hAnsi="Times New Roman"/>
          <w:sz w:val="24"/>
          <w:szCs w:val="24"/>
        </w:rPr>
      </w:pPr>
      <w:bookmarkStart w:id="82" w:name="z379"/>
      <w:bookmarkEnd w:id="82"/>
      <w:r>
        <w:rPr>
          <w:sz w:val="24"/>
          <w:szCs w:val="24"/>
        </w:rPr>
        <w:t>1) наименования и краткое описание лекарственных средств, медицинских изделий или фармацевтических услуг;</w:t>
      </w:r>
    </w:p>
    <w:p>
      <w:pPr>
        <w:pStyle w:val="TextBody"/>
        <w:rPr>
          <w:rFonts w:ascii="Times New Roman" w:hAnsi="Times New Roman"/>
          <w:sz w:val="24"/>
          <w:szCs w:val="24"/>
        </w:rPr>
      </w:pPr>
      <w:bookmarkStart w:id="83" w:name="z380"/>
      <w:bookmarkEnd w:id="83"/>
      <w:r>
        <w:rPr>
          <w:sz w:val="24"/>
          <w:szCs w:val="24"/>
        </w:rPr>
        <w:t>2) сумма закупа;</w:t>
      </w:r>
    </w:p>
    <w:p>
      <w:pPr>
        <w:pStyle w:val="TextBody"/>
        <w:rPr>
          <w:rFonts w:ascii="Times New Roman" w:hAnsi="Times New Roman"/>
          <w:sz w:val="24"/>
          <w:szCs w:val="24"/>
        </w:rPr>
      </w:pPr>
      <w:r>
        <w:rPr>
          <w:sz w:val="24"/>
          <w:szCs w:val="24"/>
        </w:rPr>
        <w:t>3) наименования, местонахождение и квалификационные данные потенциальных поставщиков, представивших тендерные заявки;</w:t>
      </w:r>
    </w:p>
    <w:p>
      <w:pPr>
        <w:pStyle w:val="TextBody"/>
        <w:rPr>
          <w:rFonts w:ascii="Times New Roman" w:hAnsi="Times New Roman"/>
          <w:sz w:val="24"/>
          <w:szCs w:val="24"/>
        </w:rPr>
      </w:pPr>
      <w:bookmarkStart w:id="84" w:name="z382"/>
      <w:bookmarkEnd w:id="84"/>
      <w:r>
        <w:rPr>
          <w:sz w:val="24"/>
          <w:szCs w:val="24"/>
        </w:rPr>
        <w:t>4) цена и другие условия каждой тендерной заявки в соответствии с тендерной документацией;</w:t>
      </w:r>
    </w:p>
    <w:p>
      <w:pPr>
        <w:pStyle w:val="TextBody"/>
        <w:rPr>
          <w:rFonts w:ascii="Times New Roman" w:hAnsi="Times New Roman"/>
          <w:sz w:val="24"/>
          <w:szCs w:val="24"/>
        </w:rPr>
      </w:pPr>
      <w:bookmarkStart w:id="85" w:name="z383"/>
      <w:bookmarkEnd w:id="85"/>
      <w:r>
        <w:rPr>
          <w:sz w:val="24"/>
          <w:szCs w:val="24"/>
        </w:rPr>
        <w:t>5) изложение оценки и сопоставления тендерных заявок;</w:t>
      </w:r>
    </w:p>
    <w:p>
      <w:pPr>
        <w:pStyle w:val="TextBody"/>
        <w:rPr>
          <w:rFonts w:ascii="Times New Roman" w:hAnsi="Times New Roman"/>
          <w:sz w:val="24"/>
          <w:szCs w:val="24"/>
        </w:rPr>
      </w:pPr>
      <w:bookmarkStart w:id="86" w:name="z384"/>
      <w:bookmarkEnd w:id="86"/>
      <w:r>
        <w:rPr>
          <w:sz w:val="24"/>
          <w:szCs w:val="24"/>
        </w:rPr>
        <w:t>6) основания отклонения тендерных заявок;</w:t>
      </w:r>
    </w:p>
    <w:p>
      <w:pPr>
        <w:pStyle w:val="TextBody"/>
        <w:rPr>
          <w:rFonts w:ascii="Times New Roman" w:hAnsi="Times New Roman"/>
          <w:sz w:val="24"/>
          <w:szCs w:val="24"/>
        </w:rPr>
      </w:pPr>
      <w:bookmarkStart w:id="87" w:name="z385"/>
      <w:bookmarkEnd w:id="87"/>
      <w:r>
        <w:rPr>
          <w:sz w:val="24"/>
          <w:szCs w:val="24"/>
        </w:rPr>
        <w:t>7) наименования и местонахождение победителя (ей) по каждому лоту тендера и условия, по которым определён победитель, с указанием торгового наименования;</w:t>
      </w:r>
    </w:p>
    <w:p>
      <w:pPr>
        <w:pStyle w:val="TextBody"/>
        <w:rPr>
          <w:rFonts w:ascii="Times New Roman" w:hAnsi="Times New Roman"/>
          <w:sz w:val="24"/>
          <w:szCs w:val="24"/>
        </w:rPr>
      </w:pPr>
      <w:bookmarkStart w:id="88" w:name="z386"/>
      <w:bookmarkEnd w:id="88"/>
      <w:r>
        <w:rPr>
          <w:sz w:val="24"/>
          <w:szCs w:val="24"/>
        </w:rPr>
        <w:t>8) наименования и местонахождение участника каждого лота тендера, предложение которого является вторым после предложения победителя, с указанием торгового наименования;</w:t>
      </w:r>
    </w:p>
    <w:p>
      <w:pPr>
        <w:pStyle w:val="TextBody"/>
        <w:rPr>
          <w:rFonts w:ascii="Times New Roman" w:hAnsi="Times New Roman"/>
          <w:sz w:val="24"/>
          <w:szCs w:val="24"/>
        </w:rPr>
      </w:pPr>
      <w:bookmarkStart w:id="89" w:name="z387"/>
      <w:bookmarkEnd w:id="89"/>
      <w:r>
        <w:rPr>
          <w:sz w:val="24"/>
          <w:szCs w:val="24"/>
        </w:rPr>
        <w:t>9) основания, если победитель тендера не определён;</w:t>
      </w:r>
    </w:p>
    <w:p>
      <w:pPr>
        <w:pStyle w:val="TextBody"/>
        <w:rPr>
          <w:rFonts w:ascii="Times New Roman" w:hAnsi="Times New Roman"/>
          <w:sz w:val="24"/>
          <w:szCs w:val="24"/>
        </w:rPr>
      </w:pPr>
      <w:bookmarkStart w:id="90" w:name="z388"/>
      <w:bookmarkEnd w:id="90"/>
      <w:r>
        <w:rPr>
          <w:sz w:val="24"/>
          <w:szCs w:val="24"/>
        </w:rPr>
        <w:t>10) срок, в течение которого надлежит заключить договор закупа;</w:t>
      </w:r>
    </w:p>
    <w:p>
      <w:pPr>
        <w:pStyle w:val="TextBody"/>
        <w:rPr>
          <w:rFonts w:ascii="Times New Roman" w:hAnsi="Times New Roman"/>
          <w:sz w:val="24"/>
          <w:szCs w:val="24"/>
        </w:rPr>
      </w:pPr>
      <w:bookmarkStart w:id="91" w:name="z389"/>
      <w:bookmarkEnd w:id="91"/>
      <w:r>
        <w:rPr>
          <w:sz w:val="24"/>
          <w:szCs w:val="24"/>
        </w:rPr>
        <w:t>11) информация о привлечении экспертной комиссии.</w:t>
      </w:r>
    </w:p>
    <w:p>
      <w:pPr>
        <w:pStyle w:val="TextBody"/>
        <w:rPr>
          <w:rFonts w:ascii="Times New Roman" w:hAnsi="Times New Roman"/>
          <w:sz w:val="24"/>
          <w:szCs w:val="24"/>
        </w:rPr>
      </w:pPr>
      <w:bookmarkStart w:id="92" w:name="z390"/>
      <w:bookmarkEnd w:id="92"/>
      <w:r>
        <w:rPr>
          <w:b w:val="false"/>
          <w:i w:val="false"/>
          <w:sz w:val="24"/>
          <w:szCs w:val="24"/>
        </w:rPr>
        <w:t>13.2. В течение трёх календарных дней со дня подведения итогов тендера заказчик или организатор закупа уведомляют потенциальных поставщиков, принявших участие в тендере, о результатах тендера путём размещения протокола итогов на интернет-ресурсе заказчика или организатора закупа.</w:t>
      </w:r>
    </w:p>
    <w:p>
      <w:pPr>
        <w:pStyle w:val="TextBody"/>
        <w:rPr>
          <w:rFonts w:ascii="Times New Roman" w:hAnsi="Times New Roman"/>
          <w:sz w:val="24"/>
          <w:szCs w:val="24"/>
        </w:rPr>
      </w:pPr>
      <w:bookmarkStart w:id="93" w:name="z391"/>
      <w:bookmarkEnd w:id="93"/>
      <w:r>
        <w:rPr>
          <w:b w:val="false"/>
          <w:i w:val="false"/>
          <w:caps w:val="false"/>
          <w:smallCaps w:val="false"/>
          <w:color w:val="000000"/>
          <w:spacing w:val="0"/>
          <w:sz w:val="24"/>
          <w:szCs w:val="24"/>
        </w:rPr>
        <w:t>13.3. Протокол об итогах тендера размещается на интернет-ресурсе заказчика или организатора закупа. Организатор закупа в течение трех календарных дней со дня подведения итогов направляет заказчику заверенные копии протокола итогов закупа и техническую спецификацию лекарственных средств и (или) медицинских изделий победителя.</w:t>
      </w:r>
    </w:p>
    <w:p>
      <w:pPr>
        <w:pStyle w:val="Heading3"/>
        <w:spacing w:before="280" w:after="280"/>
        <w:rPr>
          <w:rFonts w:ascii="Times New Roman" w:hAnsi="Times New Roman"/>
          <w:sz w:val="24"/>
          <w:szCs w:val="24"/>
        </w:rPr>
      </w:pPr>
      <w:bookmarkStart w:id="94" w:name="__RefHeading___Toc1853_2535700000"/>
      <w:bookmarkEnd w:id="94"/>
      <w:r>
        <w:rPr/>
        <w:t>14. Заключение договора закупа</w:t>
      </w:r>
    </w:p>
    <w:p>
      <w:pPr>
        <w:pStyle w:val="TextBody"/>
        <w:rPr>
          <w:rFonts w:ascii="Times New Roman" w:hAnsi="Times New Roman"/>
          <w:sz w:val="24"/>
          <w:szCs w:val="24"/>
        </w:rPr>
      </w:pPr>
      <w:bookmarkStart w:id="95" w:name="z393"/>
      <w:bookmarkEnd w:id="95"/>
      <w:r>
        <w:rPr>
          <w:sz w:val="24"/>
          <w:szCs w:val="24"/>
        </w:rPr>
        <w:t>14.1. Заказчик в течение пяти календарных дней со дня подведения итогов тендера либо получения итогов закупа от организатора закупа направляет потенциальному поставщику подписанный договор закупа или договор на оказание фармацевтических услуг, составляемый по формам, утверждённым уполномоченным органом в области здравоохранения.</w:t>
      </w:r>
    </w:p>
    <w:p>
      <w:pPr>
        <w:pStyle w:val="TextBody"/>
        <w:rPr>
          <w:rFonts w:ascii="Times New Roman" w:hAnsi="Times New Roman"/>
          <w:sz w:val="24"/>
          <w:szCs w:val="24"/>
        </w:rPr>
      </w:pPr>
      <w:bookmarkStart w:id="96" w:name="z394"/>
      <w:bookmarkEnd w:id="96"/>
      <w:r>
        <w:rPr>
          <w:b w:val="false"/>
          <w:i w:val="false"/>
          <w:sz w:val="24"/>
          <w:szCs w:val="24"/>
        </w:rPr>
        <w:t>14.2. В течение десяти рабочих дней со дня получения договора победитель тендера подписывает его либо письменно уведомляет заказчика о несогласии с его условиями или отказе от подписания.</w:t>
      </w:r>
    </w:p>
    <w:p>
      <w:pPr>
        <w:pStyle w:val="TextBody"/>
        <w:rPr>
          <w:rFonts w:ascii="Times New Roman" w:hAnsi="Times New Roman"/>
          <w:sz w:val="24"/>
          <w:szCs w:val="24"/>
        </w:rPr>
      </w:pPr>
      <w:r>
        <w:rPr>
          <w:b w:val="false"/>
          <w:i w:val="false"/>
          <w:sz w:val="24"/>
          <w:szCs w:val="24"/>
        </w:rPr>
        <w:t>Непредставление в указанный срок подписанного договора или уведомления о несогласии с условиями считается отказом от его заключения. Срок разрешения разногласий не превышает двух рабочих дней.</w:t>
      </w:r>
    </w:p>
    <w:p>
      <w:pPr>
        <w:pStyle w:val="TextBody"/>
        <w:rPr>
          <w:rFonts w:ascii="Times New Roman" w:hAnsi="Times New Roman"/>
          <w:sz w:val="24"/>
          <w:szCs w:val="24"/>
        </w:rPr>
      </w:pPr>
      <w:bookmarkStart w:id="97" w:name="z395"/>
      <w:bookmarkEnd w:id="97"/>
      <w:r>
        <w:rPr>
          <w:b w:val="false"/>
          <w:i w:val="false"/>
          <w:sz w:val="24"/>
          <w:szCs w:val="24"/>
        </w:rPr>
        <w:t>14.3. Договор закупа или договор на оказание фармацевтических услуг вступают в силу со дня подписания его уполномоченными представителями сторон, если иное не предусмотрено законодательными актами Республики Казахстан.</w:t>
      </w:r>
    </w:p>
    <w:p>
      <w:pPr>
        <w:pStyle w:val="TextBody"/>
        <w:rPr>
          <w:rFonts w:ascii="Times New Roman" w:hAnsi="Times New Roman"/>
          <w:sz w:val="24"/>
          <w:szCs w:val="24"/>
        </w:rPr>
      </w:pPr>
      <w:bookmarkStart w:id="98" w:name="z396"/>
      <w:bookmarkEnd w:id="98"/>
      <w:r>
        <w:rPr>
          <w:b w:val="false"/>
          <w:i w:val="false"/>
          <w:sz w:val="24"/>
          <w:szCs w:val="24"/>
        </w:rPr>
        <w:t>14.4. Если победитель тендера уклонился от подписания договора закупа или договора на оказание фармацевтических услуг в установленный срок или не уведомил заказчика о несогласии с его условиями, то заказчик заключает договор с участником тендера, соответствующим требованиям настоящих Правил, и ценовое предложение которого является вторым после предложения победителя.</w:t>
      </w:r>
    </w:p>
    <w:p>
      <w:pPr>
        <w:pStyle w:val="TextBody"/>
        <w:rPr>
          <w:rFonts w:ascii="Times New Roman" w:hAnsi="Times New Roman"/>
          <w:sz w:val="24"/>
          <w:szCs w:val="24"/>
        </w:rPr>
      </w:pPr>
      <w:bookmarkStart w:id="99" w:name="z397"/>
      <w:bookmarkEnd w:id="99"/>
      <w:r>
        <w:rPr>
          <w:b w:val="false"/>
          <w:i w:val="false"/>
          <w:sz w:val="24"/>
          <w:szCs w:val="24"/>
        </w:rPr>
        <w:t>14.5. Не допускается внесение каких-либо изменений и (или) новых условий в договор (за исключением уменьшения цены лекарственных средств и (или) медицинских изделий, объема), которые изменяют содержание предложения, явившегося основой для выбора поставщика, в том числе замена торгового наименования, указанного в договоре другим торговым наименованием.</w:t>
      </w:r>
    </w:p>
    <w:p>
      <w:pPr>
        <w:pStyle w:val="TextBody"/>
        <w:rPr>
          <w:rFonts w:ascii="Times New Roman" w:hAnsi="Times New Roman"/>
          <w:sz w:val="24"/>
          <w:szCs w:val="24"/>
        </w:rPr>
      </w:pPr>
      <w:bookmarkStart w:id="100" w:name="z398"/>
      <w:bookmarkEnd w:id="100"/>
      <w:r>
        <w:rPr>
          <w:b w:val="false"/>
          <w:i w:val="false"/>
          <w:sz w:val="24"/>
          <w:szCs w:val="24"/>
        </w:rPr>
        <w:t>14.6. Внесение изменения в заключенный договор при условии неизменности качества и других условий, явившихся основой для выбора поставщика, допускается:</w:t>
      </w:r>
    </w:p>
    <w:p>
      <w:pPr>
        <w:pStyle w:val="TextBody"/>
        <w:rPr>
          <w:rFonts w:ascii="Times New Roman" w:hAnsi="Times New Roman"/>
          <w:sz w:val="24"/>
          <w:szCs w:val="24"/>
        </w:rPr>
      </w:pPr>
      <w:bookmarkStart w:id="101" w:name="z399"/>
      <w:bookmarkEnd w:id="101"/>
      <w:r>
        <w:rPr>
          <w:sz w:val="24"/>
          <w:szCs w:val="24"/>
        </w:rPr>
        <w:t>1) по взаимному согласию сторон в части уменьшения цены на лекарственные средства и (или) медицинские изделия и соответственно цены договора;</w:t>
      </w:r>
    </w:p>
    <w:p>
      <w:pPr>
        <w:pStyle w:val="TextBody"/>
        <w:rPr>
          <w:rFonts w:ascii="Times New Roman" w:hAnsi="Times New Roman"/>
          <w:sz w:val="24"/>
          <w:szCs w:val="24"/>
        </w:rPr>
      </w:pPr>
      <w:bookmarkStart w:id="102" w:name="z400"/>
      <w:bookmarkEnd w:id="102"/>
      <w:r>
        <w:rPr>
          <w:sz w:val="24"/>
          <w:szCs w:val="24"/>
        </w:rPr>
        <w:t>2) по взаимному согласию сторон в части уменьшения объема лекарственных средств и (или) медицинских изделий, фармацевтических услуг.</w:t>
      </w:r>
    </w:p>
    <w:p>
      <w:pPr>
        <w:pStyle w:val="TextBody"/>
        <w:rPr>
          <w:rFonts w:ascii="Times New Roman" w:hAnsi="Times New Roman"/>
          <w:sz w:val="24"/>
          <w:szCs w:val="24"/>
        </w:rPr>
      </w:pPr>
      <w:r>
        <w:rPr>
          <w:b w:val="false"/>
          <w:i w:val="false"/>
          <w:caps w:val="false"/>
          <w:smallCaps w:val="false"/>
          <w:color w:val="000000"/>
          <w:spacing w:val="0"/>
          <w:sz w:val="24"/>
          <w:szCs w:val="24"/>
        </w:rPr>
        <w:t>14.7. Допускается проведение переговоров заказчиком либо организатором закупа с потенциальным поставщиком, признанным победителем тендера, с целью уменьшения цены лекарственных средств и (или) медицинских изделий либо фармацевтической услуги до подписания договора закупа и договора на оказание фармацевтических услуг, с применением аудио- и видеофиксации. Потенциальный поставщик принимает решение по своему усмотрению о согласии или несогласии на уменьшение цены лекарственных средств и (или) медицинских изделий или фармацевтической услуги, что не является основанием для отказа заказчиком либо организатором закупа в подписании договора с потенциальным поставщиком, признанным победителем тендера.</w:t>
      </w:r>
    </w:p>
    <w:p>
      <w:pPr>
        <w:pStyle w:val="Heading3"/>
        <w:spacing w:before="280" w:after="280"/>
        <w:rPr>
          <w:b/>
          <w:b/>
          <w:bCs/>
          <w:sz w:val="24"/>
          <w:szCs w:val="24"/>
        </w:rPr>
      </w:pPr>
      <w:bookmarkStart w:id="103" w:name="__RefHeading___Toc1855_2535700000"/>
      <w:bookmarkStart w:id="104" w:name="z402"/>
      <w:bookmarkEnd w:id="103"/>
      <w:bookmarkEnd w:id="104"/>
      <w:r>
        <w:rPr/>
        <w:t>15. Гарантийное обеспечение исполнения договора</w:t>
      </w:r>
    </w:p>
    <w:p>
      <w:pPr>
        <w:pStyle w:val="TextBody"/>
        <w:rPr/>
      </w:pPr>
      <w:bookmarkStart w:id="105" w:name="z403"/>
      <w:bookmarkEnd w:id="105"/>
      <w:r>
        <w:rPr>
          <w:b w:val="false"/>
          <w:i w:val="false"/>
          <w:sz w:val="24"/>
          <w:szCs w:val="24"/>
        </w:rPr>
        <w:t>15.1. Содержание, форма и условия внесения гарантийного обеспечения договора закупа или договора на оказание фармацевтических услуг (далее - гарантийное обеспечение) определяются заказчиком или организатором закупа в соответствии с положениями настоящих Правил и подлежат включению в тендерную документацию, договор закупа или договор на оказание фармацевтических услуг.</w:t>
      </w:r>
    </w:p>
    <w:p>
      <w:pPr>
        <w:pStyle w:val="TextBody"/>
        <w:rPr>
          <w:rFonts w:ascii="Times New Roman" w:hAnsi="Times New Roman"/>
          <w:sz w:val="24"/>
          <w:szCs w:val="24"/>
        </w:rPr>
      </w:pPr>
      <w:bookmarkStart w:id="106" w:name="z404"/>
      <w:bookmarkEnd w:id="106"/>
      <w:r>
        <w:rPr>
          <w:b w:val="false"/>
          <w:i w:val="false"/>
          <w:sz w:val="24"/>
          <w:szCs w:val="24"/>
        </w:rPr>
        <w:t>15.2. Гарантийное обеспечение составляет три процента от цены договора закупа или договора на оказание фармацевтических услуг и представляется в виде:</w:t>
      </w:r>
    </w:p>
    <w:p>
      <w:pPr>
        <w:pStyle w:val="TextBody"/>
        <w:rPr>
          <w:rFonts w:ascii="Times New Roman" w:hAnsi="Times New Roman"/>
          <w:sz w:val="24"/>
          <w:szCs w:val="24"/>
        </w:rPr>
      </w:pPr>
      <w:bookmarkStart w:id="107" w:name="z405"/>
      <w:bookmarkEnd w:id="107"/>
      <w:r>
        <w:rPr>
          <w:sz w:val="24"/>
          <w:szCs w:val="24"/>
        </w:rPr>
        <w:t>1) гарантийного взноса в виде денежных средств, размещаемых в обслуживающем банке заказчика;</w:t>
      </w:r>
    </w:p>
    <w:p>
      <w:pPr>
        <w:pStyle w:val="TextBody"/>
        <w:rPr>
          <w:rFonts w:ascii="Times New Roman" w:hAnsi="Times New Roman"/>
          <w:sz w:val="24"/>
          <w:szCs w:val="24"/>
        </w:rPr>
      </w:pPr>
      <w:bookmarkStart w:id="108" w:name="z406"/>
      <w:bookmarkEnd w:id="108"/>
      <w:r>
        <w:rPr>
          <w:sz w:val="24"/>
          <w:szCs w:val="24"/>
        </w:rPr>
        <w:t>2) банковской гарантии, выданной в соответствии с нормативными правовыми актами Национального Банка Республики Казахстан, по форме, утверждённой уполномоченным органом в области здравоохранения.</w:t>
      </w:r>
    </w:p>
    <w:p>
      <w:pPr>
        <w:pStyle w:val="TextBody"/>
        <w:rPr>
          <w:rFonts w:ascii="Times New Roman" w:hAnsi="Times New Roman"/>
          <w:sz w:val="24"/>
          <w:szCs w:val="24"/>
        </w:rPr>
      </w:pPr>
      <w:r>
        <w:rPr>
          <w:b w:val="false"/>
          <w:i w:val="false"/>
          <w:sz w:val="24"/>
          <w:szCs w:val="24"/>
        </w:rPr>
        <w:t>15.3. Гарантийное обеспечение в виде гарантийного взноса денежных средств вносится потенциальным поставщиком на соответствующий счёт заказчика.</w:t>
      </w:r>
    </w:p>
    <w:p>
      <w:pPr>
        <w:pStyle w:val="TextBody"/>
        <w:rPr>
          <w:rFonts w:ascii="Times New Roman" w:hAnsi="Times New Roman"/>
          <w:sz w:val="24"/>
          <w:szCs w:val="24"/>
        </w:rPr>
      </w:pPr>
      <w:bookmarkStart w:id="109" w:name="z408"/>
      <w:bookmarkEnd w:id="109"/>
      <w:r>
        <w:rPr>
          <w:b w:val="false"/>
          <w:i w:val="false"/>
          <w:sz w:val="24"/>
          <w:szCs w:val="24"/>
        </w:rPr>
        <w:t>15.4. Гарантийное обеспечение не вносится, если цена договора закупа или договора на оказание фармацевтических услуг не превышает двухтысячекратного размера месячного расчетного показателя на соответствующий финансовый год.</w:t>
      </w:r>
    </w:p>
    <w:p>
      <w:pPr>
        <w:pStyle w:val="TextBody"/>
        <w:rPr>
          <w:rFonts w:ascii="Times New Roman" w:hAnsi="Times New Roman"/>
          <w:sz w:val="24"/>
          <w:szCs w:val="24"/>
        </w:rPr>
      </w:pPr>
      <w:bookmarkStart w:id="110" w:name="z409"/>
      <w:bookmarkEnd w:id="110"/>
      <w:r>
        <w:rPr>
          <w:b w:val="false"/>
          <w:i w:val="false"/>
          <w:sz w:val="24"/>
          <w:szCs w:val="24"/>
        </w:rPr>
        <w:t>15.5. Гарантийное обеспечение исполнения договора закупа или договора на оказание фармацевтических услуг вносится поставщиком не позднее десяти рабочих дней со дня его вступления в силу, если им не предусмотрено иное.</w:t>
      </w:r>
    </w:p>
    <w:p>
      <w:pPr>
        <w:pStyle w:val="TextBody"/>
        <w:rPr>
          <w:rFonts w:ascii="Times New Roman" w:hAnsi="Times New Roman"/>
          <w:sz w:val="24"/>
          <w:szCs w:val="24"/>
        </w:rPr>
      </w:pPr>
      <w:bookmarkStart w:id="111" w:name="z410"/>
      <w:bookmarkEnd w:id="111"/>
      <w:r>
        <w:rPr>
          <w:b w:val="false"/>
          <w:i w:val="false"/>
          <w:sz w:val="24"/>
          <w:szCs w:val="24"/>
        </w:rPr>
        <w:t>15.6. Гарантийное обеспечение исполнения договора закупа или договора на оказание фармацевтических услуг не возвращается заказчиком поставщику в случаях:</w:t>
      </w:r>
    </w:p>
    <w:p>
      <w:pPr>
        <w:pStyle w:val="TextBody"/>
        <w:rPr>
          <w:rFonts w:ascii="Times New Roman" w:hAnsi="Times New Roman"/>
          <w:sz w:val="24"/>
          <w:szCs w:val="24"/>
        </w:rPr>
      </w:pPr>
      <w:bookmarkStart w:id="112" w:name="z411"/>
      <w:bookmarkEnd w:id="112"/>
      <w:r>
        <w:rPr>
          <w:sz w:val="24"/>
          <w:szCs w:val="24"/>
        </w:rPr>
        <w:t>1) расторжения договора закупа или договора на оказание фармацевтических услуг в связи с неисполнением или ненадлежащим исполнением поставщиком договорных обязательств;</w:t>
      </w:r>
    </w:p>
    <w:p>
      <w:pPr>
        <w:pStyle w:val="TextBody"/>
        <w:rPr>
          <w:rFonts w:ascii="Times New Roman" w:hAnsi="Times New Roman"/>
          <w:sz w:val="24"/>
          <w:szCs w:val="24"/>
        </w:rPr>
      </w:pPr>
      <w:bookmarkStart w:id="113" w:name="z412"/>
      <w:bookmarkEnd w:id="113"/>
      <w:r>
        <w:rPr>
          <w:sz w:val="24"/>
          <w:szCs w:val="24"/>
        </w:rPr>
        <w:t>2) неисполнения или исполнения ненадлежащим образом своих обязательств по договору поставки (нарушение сроков поставки, поставка некачественных лекарственных средств, медицинских изделий и нарушение других условий договора);</w:t>
      </w:r>
    </w:p>
    <w:p>
      <w:pPr>
        <w:pStyle w:val="TextBody"/>
        <w:rPr>
          <w:rFonts w:ascii="Times New Roman" w:hAnsi="Times New Roman"/>
          <w:sz w:val="24"/>
          <w:szCs w:val="24"/>
        </w:rPr>
      </w:pPr>
      <w:bookmarkStart w:id="114" w:name="z413"/>
      <w:bookmarkEnd w:id="114"/>
      <w:r>
        <w:rPr>
          <w:sz w:val="24"/>
          <w:szCs w:val="24"/>
        </w:rPr>
        <w:t>3) неуплаты штрафных санкций за неисполнение или ненадлежащее исполнение, предусмотренных договором закупа или договором на оказание фармацевтических услуг.</w:t>
      </w:r>
    </w:p>
    <w:p>
      <w:pPr>
        <w:pStyle w:val="Heading3"/>
        <w:spacing w:before="280" w:after="280"/>
        <w:rPr/>
      </w:pPr>
      <w:bookmarkStart w:id="115" w:name="__RefHeading___Toc1857_2535700000"/>
      <w:bookmarkEnd w:id="115"/>
      <w:r>
        <w:rPr>
          <w:rStyle w:val="S1"/>
          <w:b/>
          <w:sz w:val="27"/>
          <w:szCs w:val="27"/>
        </w:rPr>
        <w:t>16. Поддержка отечественного товаропроизводителя</w:t>
      </w:r>
    </w:p>
    <w:p>
      <w:pPr>
        <w:pStyle w:val="Normal"/>
        <w:ind w:left="0" w:right="0" w:firstLine="708"/>
        <w:jc w:val="both"/>
        <w:rPr>
          <w:rFonts w:ascii="Times New Roman" w:hAnsi="Times New Roman"/>
          <w:sz w:val="24"/>
          <w:szCs w:val="24"/>
        </w:rPr>
      </w:pPr>
      <w:r>
        <w:rPr>
          <w:sz w:val="24"/>
          <w:szCs w:val="24"/>
          <w:lang w:eastAsia="ar-SA"/>
        </w:rPr>
        <w:t>16.1. В случае, если в закупе товара участвует один потенциальный поставщик, являющийся отечественным товаропроизводителем и соответствующий требованиям настоящих Правил, то закуп признается несостоявшимся. Заказчик, организатор закупа или единый дистрибьютор переходят к закупу способом из одного источника у данного потенциального поставщика, являющегося отечественным товаропроизводителем.</w:t>
      </w:r>
    </w:p>
    <w:p>
      <w:pPr>
        <w:pStyle w:val="Normal"/>
        <w:ind w:left="0" w:right="0" w:firstLine="708"/>
        <w:jc w:val="both"/>
        <w:rPr>
          <w:rFonts w:ascii="Times New Roman" w:hAnsi="Times New Roman"/>
          <w:sz w:val="24"/>
          <w:szCs w:val="24"/>
        </w:rPr>
      </w:pPr>
      <w:r>
        <w:rPr>
          <w:sz w:val="24"/>
          <w:szCs w:val="24"/>
          <w:lang w:eastAsia="ar-SA"/>
        </w:rPr>
        <w:t xml:space="preserve">16.2. В случае, если в закупе товара участвуют два и более потенциальных поставщиков, один из которых потенциальный поставщик, являющийся отечественным товаропроизводителем и соответствующий требованиям настоящих Правил, то закуп признается несостоявшимся. Заказчик, организатор закупа или единый дистрибьютор переходят к закупу способом из одного источника у данного потенциального поставщика, являющегося отечественным товаропроизводителем. </w:t>
      </w:r>
    </w:p>
    <w:p>
      <w:pPr>
        <w:pStyle w:val="Normal"/>
        <w:tabs>
          <w:tab w:val="clear" w:pos="709"/>
          <w:tab w:val="left" w:pos="142" w:leader="none"/>
          <w:tab w:val="left" w:pos="284" w:leader="none"/>
        </w:tabs>
        <w:spacing w:before="28" w:after="28"/>
        <w:ind w:left="0" w:right="0" w:firstLine="708"/>
        <w:jc w:val="both"/>
        <w:rPr>
          <w:rFonts w:ascii="Times New Roman" w:hAnsi="Times New Roman"/>
          <w:sz w:val="24"/>
          <w:szCs w:val="24"/>
          <w:lang w:eastAsia="ar-SA"/>
        </w:rPr>
      </w:pPr>
      <w:r>
        <w:rPr>
          <w:b w:val="false"/>
          <w:bCs w:val="false"/>
          <w:i w:val="false"/>
          <w:caps w:val="false"/>
          <w:smallCaps w:val="false"/>
          <w:color w:val="000000"/>
          <w:spacing w:val="2"/>
          <w:sz w:val="24"/>
          <w:szCs w:val="24"/>
          <w:lang w:val="kk-KZ" w:eastAsia="ar-SA"/>
        </w:rPr>
        <w:t>16.3. В случае, если в закупе товара участвуют два и более потенциальных поставщиков, являющихся отечественными товаропроизводителями и соответствующих требованиям настоящих Правил, то по данному лоту допускаются только потенциальные поставщики, являющиеся отечественными товаропроизводителями, и тендерные заявки остальных потенциальных поставщиков отклоняются.</w:t>
      </w:r>
    </w:p>
    <w:p>
      <w:pPr>
        <w:pStyle w:val="Heading3"/>
        <w:spacing w:before="280" w:after="280"/>
        <w:rPr/>
      </w:pPr>
      <w:bookmarkStart w:id="116" w:name="__RefHeading___Toc1879_2535700000"/>
      <w:bookmarkEnd w:id="116"/>
      <w:r>
        <w:rPr>
          <w:lang w:eastAsia="ar-SA"/>
        </w:rPr>
        <w:t xml:space="preserve">17. </w:t>
      </w:r>
      <w:r>
        <w:rPr/>
        <w:t xml:space="preserve">Заключительные положения и </w:t>
      </w:r>
      <w:r>
        <w:rPr>
          <w:lang w:eastAsia="ar-SA"/>
        </w:rPr>
        <w:t>электронный адрес</w:t>
      </w:r>
      <w:r>
        <w:rPr/>
        <w:t xml:space="preserve"> интернет-ресурса   организатора  закупа,   на котором   планируется    размещать информацию, подлежащую опубликованию</w:t>
      </w:r>
    </w:p>
    <w:p>
      <w:pPr>
        <w:pStyle w:val="TextBody"/>
        <w:rPr>
          <w:rFonts w:ascii="Times New Roman" w:hAnsi="Times New Roman"/>
          <w:sz w:val="24"/>
          <w:szCs w:val="24"/>
        </w:rPr>
      </w:pPr>
      <w:r>
        <w:rPr>
          <w:sz w:val="24"/>
          <w:szCs w:val="24"/>
        </w:rPr>
        <w:t>17.1.</w:t>
      </w:r>
      <w:r>
        <w:rPr>
          <w:color w:val="000000"/>
          <w:sz w:val="24"/>
          <w:szCs w:val="24"/>
        </w:rPr>
        <w:t xml:space="preserve"> Вскрытые тендерные заявки не возвращаются потенциальным поставщикам, за исключением оригинала банковской гарантии. При этом заказчик или организатор тендера должны сохранить копию данного документа.</w:t>
      </w:r>
    </w:p>
    <w:p>
      <w:pPr>
        <w:pStyle w:val="TextBody"/>
        <w:rPr>
          <w:rFonts w:ascii="Times New Roman" w:hAnsi="Times New Roman"/>
          <w:sz w:val="24"/>
          <w:szCs w:val="24"/>
        </w:rPr>
      </w:pPr>
      <w:r>
        <w:rPr>
          <w:color w:val="000000"/>
          <w:sz w:val="24"/>
          <w:szCs w:val="24"/>
        </w:rPr>
        <w:t xml:space="preserve">17.2 Электронная почта Заказчика </w:t>
      </w:r>
      <w:hyperlink r:id="rId3">
        <w:r>
          <w:rPr>
            <w:rStyle w:val="InternetLink"/>
            <w:b/>
            <w:bCs/>
            <w:color w:val="000000"/>
            <w:sz w:val="24"/>
            <w:szCs w:val="24"/>
          </w:rPr>
          <w:t>bcrb_priemnaya@mail.ru</w:t>
        </w:r>
      </w:hyperlink>
    </w:p>
    <w:p>
      <w:pPr>
        <w:pStyle w:val="TextBody"/>
        <w:rPr>
          <w:rFonts w:ascii="Times New Roman" w:hAnsi="Times New Roman"/>
        </w:rPr>
      </w:pPr>
      <w:r>
        <w:rPr>
          <w:sz w:val="24"/>
          <w:szCs w:val="24"/>
          <w:lang w:eastAsia="ar-SA"/>
        </w:rPr>
        <w:t xml:space="preserve">17.3. Электронный адрес Интернет-ресурса Заказчика, на котором планируется размещать информацию, подлежащую опубликованию: </w:t>
      </w:r>
      <w:hyperlink r:id="rId4">
        <w:r>
          <w:rPr>
            <w:rStyle w:val="InternetLink"/>
            <w:rFonts w:eastAsia="Noto Serif CJK SC" w:cs="Lohit Devanagari"/>
            <w:b/>
            <w:bCs/>
            <w:color w:val="000080"/>
            <w:kern w:val="2"/>
            <w:sz w:val="24"/>
            <w:szCs w:val="24"/>
            <w:u w:val="single"/>
            <w:lang w:val="en-US" w:eastAsia="zxx" w:bidi="zxx"/>
          </w:rPr>
          <w:t>http://borcrb.kz/goszakup/tender/2021/02</w:t>
        </w:r>
      </w:hyperlink>
      <w:r>
        <w:br w:type="page"/>
      </w:r>
    </w:p>
    <w:p>
      <w:pPr>
        <w:pStyle w:val="TextBody"/>
        <w:jc w:val="right"/>
        <w:rPr>
          <w:rFonts w:ascii="Times New Roman" w:hAnsi="Times New Roman"/>
        </w:rPr>
      </w:pPr>
      <w:r>
        <w:rPr>
          <w:sz w:val="24"/>
          <w:szCs w:val="24"/>
        </w:rPr>
        <w:t>Приложение 3</w:t>
      </w:r>
    </w:p>
    <w:p>
      <w:pPr>
        <w:pStyle w:val="Normal"/>
        <w:jc w:val="right"/>
        <w:rPr/>
      </w:pPr>
      <w:r>
        <w:rPr>
          <w:sz w:val="24"/>
          <w:szCs w:val="24"/>
        </w:rPr>
        <w:t xml:space="preserve">к тендерной документации </w:t>
        <w:br/>
        <w:t xml:space="preserve">для тендера </w:t>
      </w:r>
      <w:r>
        <w:rPr>
          <w:b/>
          <w:bCs/>
          <w:sz w:val="24"/>
          <w:szCs w:val="24"/>
          <w:lang w:val="kk-KZ"/>
        </w:rPr>
        <w:t>№2 «</w:t>
      </w:r>
      <w:r>
        <w:rPr>
          <w:rFonts w:eastAsia="Noto Serif CJK SC" w:cs="Lohit Devanagari"/>
          <w:b/>
          <w:bCs/>
          <w:color w:val="auto"/>
          <w:kern w:val="2"/>
          <w:sz w:val="24"/>
          <w:szCs w:val="24"/>
          <w:lang w:val="kk-KZ" w:eastAsia="zh-CN" w:bidi="hi-IN"/>
        </w:rPr>
        <w:t>Медицинское оборудование для родильного отделения</w:t>
      </w:r>
      <w:r>
        <w:rPr>
          <w:b/>
          <w:bCs/>
          <w:sz w:val="24"/>
          <w:szCs w:val="24"/>
          <w:lang w:val="kk-KZ"/>
        </w:rPr>
        <w:t>»</w:t>
        <w:br/>
      </w:r>
      <w:r>
        <w:rPr>
          <w:sz w:val="24"/>
          <w:szCs w:val="24"/>
        </w:rPr>
        <w:t>Форма</w:t>
      </w:r>
    </w:p>
    <w:p>
      <w:pPr>
        <w:pStyle w:val="Normal"/>
        <w:jc w:val="right"/>
        <w:rPr/>
      </w:pPr>
      <w:r>
        <w:rPr>
          <w:rStyle w:val="S0"/>
          <w:sz w:val="24"/>
          <w:szCs w:val="24"/>
        </w:rPr>
        <w:t>(Кому)</w:t>
        <w:br/>
        <w:t>_______________________________________</w:t>
        <w:br/>
        <w:t>(наименование заказчика, организатора</w:t>
      </w:r>
    </w:p>
    <w:p>
      <w:pPr>
        <w:pStyle w:val="Normal"/>
        <w:jc w:val="right"/>
        <w:rPr/>
      </w:pPr>
      <w:r>
        <w:rPr>
          <w:rStyle w:val="S0"/>
          <w:sz w:val="24"/>
          <w:szCs w:val="24"/>
        </w:rPr>
        <w:t>закупа или единого дистрибьютора)</w:t>
        <w:br/>
        <w:t>(От кого)</w:t>
        <w:br/>
        <w:t>__________________________________</w:t>
        <w:br/>
        <w:t>(наименование потенциального поставщика)</w:t>
      </w:r>
    </w:p>
    <w:p>
      <w:pPr>
        <w:pStyle w:val="Heading3"/>
        <w:spacing w:before="280" w:after="280"/>
        <w:rPr/>
      </w:pPr>
      <w:bookmarkStart w:id="117" w:name="__RefHeading___Toc3428_223126817"/>
      <w:bookmarkEnd w:id="117"/>
      <w:r>
        <w:rPr>
          <w:rStyle w:val="S1"/>
          <w:rFonts w:eastAsia="Noto Serif CJK SC" w:cs="Lohit Devanagari"/>
          <w:b/>
          <w:bCs/>
          <w:color w:val="auto"/>
          <w:kern w:val="2"/>
          <w:sz w:val="27"/>
          <w:szCs w:val="27"/>
          <w:lang w:val="ru-RU" w:eastAsia="zh-CN" w:bidi="hi-IN"/>
        </w:rPr>
        <w:t>Заявка на участие в тендере (для физических лиц, осуществляющих предпринимательскую деятельность и юридических лиц)</w:t>
      </w:r>
    </w:p>
    <w:p>
      <w:pPr>
        <w:pStyle w:val="Normal"/>
        <w:jc w:val="both"/>
        <w:rPr/>
      </w:pPr>
      <w:r>
        <w:rPr>
          <w:rStyle w:val="S0"/>
          <w:sz w:val="24"/>
          <w:szCs w:val="24"/>
        </w:rPr>
        <w:t>Рассмотрев тендерную документацию по проведению тендера/ объяв</w:t>
      </w:r>
      <w:r>
        <w:rPr>
          <w:rStyle w:val="S0"/>
          <w:rFonts w:eastAsia="Noto Serif CJK SC"/>
          <w:kern w:val="2"/>
          <w:sz w:val="24"/>
          <w:szCs w:val="24"/>
          <w:lang w:val="ru-RU" w:eastAsia="zh-CN" w:bidi="hi-IN"/>
        </w:rPr>
        <w:t>ление и Правила организации и проведения закупа лекарственны</w:t>
      </w:r>
      <w:r>
        <w:rPr>
          <w:rStyle w:val="S0"/>
          <w:sz w:val="24"/>
          <w:szCs w:val="24"/>
        </w:rPr>
        <w:t>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медицинского социального страхования, утвержденные постановлением Правительства Республики Казахстан от 30 октября 2009 года № 1729,</w:t>
      </w:r>
    </w:p>
    <w:p>
      <w:pPr>
        <w:pStyle w:val="Normal"/>
        <w:jc w:val="both"/>
        <w:rPr/>
      </w:pPr>
      <w:r>
        <w:rPr>
          <w:rStyle w:val="S0"/>
          <w:sz w:val="24"/>
          <w:szCs w:val="24"/>
        </w:rPr>
        <w:t>______________________________________________________________________</w:t>
      </w:r>
    </w:p>
    <w:p>
      <w:pPr>
        <w:pStyle w:val="Normal"/>
        <w:jc w:val="both"/>
        <w:rPr/>
      </w:pPr>
      <w:r>
        <w:rPr>
          <w:rStyle w:val="S0"/>
          <w:sz w:val="24"/>
          <w:szCs w:val="24"/>
        </w:rPr>
        <w:tab/>
        <w:tab/>
        <w:tab/>
        <w:t>(название тендера/двухэтапного тендера)</w:t>
      </w:r>
    </w:p>
    <w:p>
      <w:pPr>
        <w:pStyle w:val="Normal"/>
        <w:jc w:val="both"/>
        <w:rPr/>
      </w:pPr>
      <w:r>
        <w:rPr>
          <w:rStyle w:val="S0"/>
          <w:sz w:val="24"/>
          <w:szCs w:val="24"/>
        </w:rPr>
        <w:t xml:space="preserve">получение которой настоящим удостоверяется (указывается, если получена тендерная документация), </w:t>
      </w:r>
    </w:p>
    <w:p>
      <w:pPr>
        <w:pStyle w:val="Normal"/>
        <w:jc w:val="both"/>
        <w:rPr/>
      </w:pPr>
      <w:r>
        <w:rPr>
          <w:rStyle w:val="S0"/>
          <w:sz w:val="24"/>
          <w:szCs w:val="24"/>
        </w:rPr>
        <w:t>______________________________________________________________________,</w:t>
      </w:r>
    </w:p>
    <w:p>
      <w:pPr>
        <w:pStyle w:val="Normal"/>
        <w:jc w:val="both"/>
        <w:rPr/>
      </w:pPr>
      <w:r>
        <w:rPr>
          <w:rStyle w:val="S0"/>
          <w:sz w:val="24"/>
          <w:szCs w:val="24"/>
        </w:rPr>
        <w:t>______________________________________________________________________</w:t>
      </w:r>
    </w:p>
    <w:p>
      <w:pPr>
        <w:pStyle w:val="Normal"/>
        <w:jc w:val="both"/>
        <w:rPr/>
      </w:pPr>
      <w:r>
        <w:rPr>
          <w:rStyle w:val="S0"/>
          <w:sz w:val="24"/>
          <w:szCs w:val="24"/>
        </w:rPr>
        <w:t>(наименование потенциального поставщика) выражает согласие осуществить</w:t>
      </w:r>
    </w:p>
    <w:p>
      <w:pPr>
        <w:pStyle w:val="Normal"/>
        <w:jc w:val="both"/>
        <w:rPr/>
      </w:pPr>
      <w:r>
        <w:rPr>
          <w:rStyle w:val="S0"/>
          <w:sz w:val="24"/>
          <w:szCs w:val="24"/>
        </w:rPr>
        <w:t>поставку товаров, фармацевтических услуг в соответствии с тендерной документацией (условиям объявления) по следующим лотам:</w:t>
      </w:r>
    </w:p>
    <w:p>
      <w:pPr>
        <w:pStyle w:val="Normal"/>
        <w:jc w:val="both"/>
        <w:rPr/>
      </w:pPr>
      <w:r>
        <w:rPr>
          <w:rStyle w:val="S0"/>
          <w:sz w:val="24"/>
          <w:szCs w:val="24"/>
        </w:rPr>
        <w:t>______________________________________________________________________</w:t>
      </w:r>
    </w:p>
    <w:p>
      <w:pPr>
        <w:pStyle w:val="Normal"/>
        <w:jc w:val="both"/>
        <w:rPr/>
      </w:pPr>
      <w:r>
        <w:rPr>
          <w:rStyle w:val="S0"/>
          <w:sz w:val="24"/>
          <w:szCs w:val="24"/>
        </w:rPr>
        <w:tab/>
        <w:tab/>
        <w:t>(подробное описание товаров, фармацевтических услуг)</w:t>
      </w:r>
    </w:p>
    <w:p>
      <w:pPr>
        <w:pStyle w:val="Normal"/>
        <w:jc w:val="both"/>
        <w:rPr/>
      </w:pPr>
      <w:r>
        <w:rPr>
          <w:rStyle w:val="S0"/>
          <w:sz w:val="24"/>
          <w:szCs w:val="24"/>
        </w:rPr>
        <w:t>______________________________________________________________________</w:t>
      </w:r>
    </w:p>
    <w:p>
      <w:pPr>
        <w:pStyle w:val="Normal"/>
        <w:jc w:val="both"/>
        <w:rPr/>
      </w:pPr>
      <w:r>
        <w:rPr>
          <w:rStyle w:val="S0"/>
          <w:sz w:val="24"/>
          <w:szCs w:val="24"/>
        </w:rPr>
        <w:t>______________________________________________________________________</w:t>
      </w:r>
    </w:p>
    <w:p>
      <w:pPr>
        <w:pStyle w:val="Normal"/>
        <w:jc w:val="both"/>
        <w:rPr/>
      </w:pPr>
      <w:r>
        <w:rPr>
          <w:rStyle w:val="S0"/>
          <w:sz w:val="24"/>
          <w:szCs w:val="24"/>
        </w:rPr>
        <w:t>______________________________________________________________________</w:t>
      </w:r>
    </w:p>
    <w:p>
      <w:pPr>
        <w:pStyle w:val="Normal"/>
        <w:jc w:val="both"/>
        <w:rPr/>
      </w:pPr>
      <w:r>
        <w:rPr>
          <w:rStyle w:val="S0"/>
          <w:sz w:val="24"/>
          <w:szCs w:val="24"/>
        </w:rPr>
        <w:t>______________________________________________________________________</w:t>
      </w:r>
    </w:p>
    <w:p>
      <w:pPr>
        <w:pStyle w:val="Normal"/>
        <w:jc w:val="both"/>
        <w:rPr/>
      </w:pPr>
      <w:r>
        <w:rPr>
          <w:rStyle w:val="S0"/>
          <w:sz w:val="24"/>
          <w:szCs w:val="24"/>
        </w:rPr>
        <w:t>Настоящая тендерная заявка состоит из:</w:t>
      </w:r>
    </w:p>
    <w:p>
      <w:pPr>
        <w:pStyle w:val="Normal"/>
        <w:jc w:val="both"/>
        <w:rPr/>
      </w:pPr>
      <w:r>
        <w:rPr>
          <w:rStyle w:val="S0"/>
          <w:sz w:val="24"/>
          <w:szCs w:val="24"/>
        </w:rPr>
        <w:t>1. ____________________________________________________________________</w:t>
      </w:r>
    </w:p>
    <w:p>
      <w:pPr>
        <w:pStyle w:val="Normal"/>
        <w:jc w:val="both"/>
        <w:rPr/>
      </w:pPr>
      <w:r>
        <w:rPr>
          <w:rStyle w:val="S0"/>
          <w:sz w:val="24"/>
          <w:szCs w:val="24"/>
        </w:rPr>
        <w:t>2. ____________________________________________________________________</w:t>
      </w:r>
    </w:p>
    <w:p>
      <w:pPr>
        <w:pStyle w:val="Normal"/>
        <w:jc w:val="both"/>
        <w:rPr/>
      </w:pPr>
      <w:r>
        <w:rPr>
          <w:rStyle w:val="S0"/>
          <w:sz w:val="24"/>
          <w:szCs w:val="24"/>
        </w:rPr>
        <w:t>3. ____________________________________________________________________</w:t>
      </w:r>
    </w:p>
    <w:p>
      <w:pPr>
        <w:pStyle w:val="Normal"/>
        <w:jc w:val="both"/>
        <w:rPr/>
      </w:pPr>
      <w:r>
        <w:rPr>
          <w:rStyle w:val="S0"/>
          <w:sz w:val="24"/>
          <w:szCs w:val="24"/>
        </w:rPr>
        <w:t>Настоящая тендерная заявка действует в течение</w:t>
      </w:r>
    </w:p>
    <w:p>
      <w:pPr>
        <w:pStyle w:val="Normal"/>
        <w:jc w:val="both"/>
        <w:rPr/>
      </w:pPr>
      <w:r>
        <w:rPr>
          <w:rStyle w:val="S0"/>
          <w:sz w:val="24"/>
          <w:szCs w:val="24"/>
        </w:rPr>
        <w:t>______________________ дней со дня вскрытия конвертов с тендерными заявками.</w:t>
      </w:r>
    </w:p>
    <w:p>
      <w:pPr>
        <w:pStyle w:val="Normal"/>
        <w:jc w:val="both"/>
        <w:rPr/>
      </w:pPr>
      <w:r>
        <w:rPr>
          <w:rStyle w:val="S0"/>
          <w:sz w:val="24"/>
          <w:szCs w:val="24"/>
        </w:rPr>
        <w:tab/>
        <w:tab/>
        <w:t>(прописью)</w:t>
      </w:r>
    </w:p>
    <w:p>
      <w:pPr>
        <w:pStyle w:val="Normal"/>
        <w:jc w:val="both"/>
        <w:rPr/>
      </w:pPr>
      <w:r>
        <w:rPr>
          <w:rStyle w:val="S0"/>
          <w:sz w:val="24"/>
          <w:szCs w:val="24"/>
        </w:rPr>
        <w:t>Подпись, дата должность, фамилия, имя, отчество</w:t>
      </w:r>
    </w:p>
    <w:p>
      <w:pPr>
        <w:pStyle w:val="Normal"/>
        <w:jc w:val="both"/>
        <w:rPr/>
      </w:pPr>
      <w:r>
        <w:rPr>
          <w:rStyle w:val="S0"/>
          <w:sz w:val="24"/>
          <w:szCs w:val="24"/>
        </w:rPr>
        <w:t>(при его наличии)</w:t>
      </w:r>
    </w:p>
    <w:p>
      <w:pPr>
        <w:pStyle w:val="Normal"/>
        <w:jc w:val="both"/>
        <w:rPr/>
      </w:pPr>
      <w:r>
        <w:rPr>
          <w:rStyle w:val="S0"/>
          <w:sz w:val="24"/>
          <w:szCs w:val="24"/>
        </w:rPr>
        <w:t>Печать</w:t>
      </w:r>
    </w:p>
    <w:p>
      <w:pPr>
        <w:pStyle w:val="Normal"/>
        <w:jc w:val="both"/>
        <w:rPr/>
      </w:pPr>
      <w:r>
        <w:rPr>
          <w:rStyle w:val="S0"/>
          <w:sz w:val="24"/>
          <w:szCs w:val="24"/>
        </w:rPr>
        <w:t>(при наличии)Имеющий все полномочия подписать тендерную заявку от имени и по поручению</w:t>
      </w:r>
    </w:p>
    <w:p>
      <w:pPr>
        <w:pStyle w:val="Normal"/>
        <w:jc w:val="both"/>
        <w:rPr/>
      </w:pPr>
      <w:r>
        <w:rPr>
          <w:rStyle w:val="S0"/>
          <w:sz w:val="24"/>
          <w:szCs w:val="24"/>
        </w:rPr>
        <w:t>______________________________________________________________________</w:t>
      </w:r>
    </w:p>
    <w:p>
      <w:pPr>
        <w:pStyle w:val="Normal"/>
        <w:jc w:val="both"/>
        <w:rPr/>
      </w:pPr>
      <w:r>
        <w:rPr>
          <w:rStyle w:val="S0"/>
          <w:sz w:val="24"/>
          <w:szCs w:val="24"/>
        </w:rPr>
        <w:t>                    </w:t>
      </w:r>
      <w:r>
        <w:rPr>
          <w:rStyle w:val="S0"/>
          <w:sz w:val="24"/>
          <w:szCs w:val="24"/>
        </w:rPr>
        <w:t>(наименование потенциального поставщика)</w:t>
      </w:r>
    </w:p>
    <w:p>
      <w:pPr>
        <w:sectPr>
          <w:footerReference w:type="default" r:id="rId5"/>
          <w:type w:val="nextPage"/>
          <w:pgSz w:w="11906" w:h="16838"/>
          <w:pgMar w:left="1134" w:right="1134" w:gutter="0" w:header="0" w:top="1134" w:footer="1134" w:bottom="1750"/>
          <w:pgNumType w:fmt="decimal"/>
          <w:formProt w:val="false"/>
          <w:textDirection w:val="lrTb"/>
          <w:docGrid w:type="default" w:linePitch="100" w:charSpace="0"/>
        </w:sectPr>
        <w:pStyle w:val="Normal"/>
        <w:spacing w:before="0" w:after="0"/>
        <w:jc w:val="both"/>
        <w:rPr>
          <w:rFonts w:ascii="Times New Roman" w:hAnsi="Times New Roman"/>
          <w:sz w:val="24"/>
          <w:szCs w:val="24"/>
        </w:rPr>
      </w:pPr>
      <w:r>
        <w:rPr>
          <w:rStyle w:val="S0"/>
          <w:sz w:val="24"/>
          <w:szCs w:val="24"/>
        </w:rPr>
        <w:t>________________________</w:t>
      </w:r>
    </w:p>
    <w:p>
      <w:pPr>
        <w:pStyle w:val="Normal"/>
        <w:jc w:val="right"/>
        <w:textAlignment w:val="baseline"/>
        <w:rPr>
          <w:rFonts w:ascii="Times New Roman" w:hAnsi="Times New Roman"/>
          <w:sz w:val="24"/>
          <w:szCs w:val="24"/>
        </w:rPr>
      </w:pPr>
      <w:r>
        <w:rPr/>
        <w:t xml:space="preserve">Приложение 4 </w:t>
      </w:r>
    </w:p>
    <w:p>
      <w:pPr>
        <w:pStyle w:val="Normal"/>
        <w:jc w:val="right"/>
        <w:textAlignment w:val="baseline"/>
        <w:rPr>
          <w:rFonts w:ascii="Times New Roman" w:hAnsi="Times New Roman"/>
          <w:sz w:val="24"/>
          <w:szCs w:val="24"/>
        </w:rPr>
      </w:pPr>
      <w:r>
        <w:rPr>
          <w:sz w:val="24"/>
          <w:szCs w:val="24"/>
        </w:rPr>
        <w:t xml:space="preserve">к тендерной документации </w:t>
        <w:br/>
        <w:t xml:space="preserve">для тендера </w:t>
      </w:r>
      <w:r>
        <w:rPr>
          <w:b/>
          <w:bCs/>
          <w:sz w:val="24"/>
          <w:szCs w:val="24"/>
          <w:lang w:val="kk-KZ"/>
        </w:rPr>
        <w:t>№2 «</w:t>
      </w:r>
      <w:r>
        <w:rPr>
          <w:rFonts w:eastAsia="Noto Serif CJK SC" w:cs="Lohit Devanagari"/>
          <w:b/>
          <w:bCs/>
          <w:color w:val="auto"/>
          <w:kern w:val="2"/>
          <w:sz w:val="24"/>
          <w:szCs w:val="24"/>
          <w:lang w:val="kk-KZ" w:eastAsia="zh-CN" w:bidi="hi-IN"/>
        </w:rPr>
        <w:t>Медицинское оборудование для родильного отделения</w:t>
      </w:r>
      <w:r>
        <w:rPr>
          <w:b/>
          <w:bCs/>
          <w:sz w:val="24"/>
          <w:szCs w:val="24"/>
          <w:lang w:val="kk-KZ"/>
        </w:rPr>
        <w:t>»</w:t>
      </w:r>
    </w:p>
    <w:p>
      <w:pPr>
        <w:pStyle w:val="Heading3"/>
        <w:spacing w:before="280" w:after="280"/>
        <w:rPr>
          <w:rFonts w:ascii="Times New Roman" w:hAnsi="Times New Roman"/>
          <w:sz w:val="24"/>
          <w:szCs w:val="24"/>
        </w:rPr>
      </w:pPr>
      <w:bookmarkStart w:id="118" w:name="__RefHeading___Toc3430_223126817"/>
      <w:bookmarkEnd w:id="118"/>
      <w:r>
        <w:rPr>
          <w:rStyle w:val="S1"/>
          <w:b/>
          <w:sz w:val="27"/>
          <w:szCs w:val="27"/>
        </w:rPr>
        <w:t>Опись документов, прилагаемых к заявке потенциального поставщика</w:t>
      </w:r>
    </w:p>
    <w:p>
      <w:pPr>
        <w:pStyle w:val="TextBody"/>
        <w:rPr>
          <w:rStyle w:val="S1"/>
          <w:sz w:val="27"/>
          <w:szCs w:val="27"/>
        </w:rPr>
      </w:pPr>
      <w:r>
        <w:rPr>
          <w:sz w:val="27"/>
          <w:szCs w:val="27"/>
        </w:rPr>
      </w:r>
    </w:p>
    <w:tbl>
      <w:tblPr>
        <w:tblW w:w="5000" w:type="pct"/>
        <w:jc w:val="center"/>
        <w:tblInd w:w="0" w:type="dxa"/>
        <w:tblLayout w:type="fixed"/>
        <w:tblCellMar>
          <w:top w:w="0" w:type="dxa"/>
          <w:left w:w="10" w:type="dxa"/>
          <w:bottom w:w="0" w:type="dxa"/>
          <w:right w:w="0" w:type="dxa"/>
        </w:tblCellMar>
      </w:tblPr>
      <w:tblGrid>
        <w:gridCol w:w="386"/>
        <w:gridCol w:w="1582"/>
        <w:gridCol w:w="842"/>
        <w:gridCol w:w="1286"/>
        <w:gridCol w:w="1440"/>
        <w:gridCol w:w="3486"/>
        <w:gridCol w:w="615"/>
      </w:tblGrid>
      <w:tr>
        <w:trPr/>
        <w:tc>
          <w:tcPr>
            <w:tcW w:w="386" w:type="dxa"/>
            <w:tcBorders>
              <w:top w:val="single" w:sz="8" w:space="0" w:color="000000"/>
              <w:left w:val="single" w:sz="8" w:space="0" w:color="000000"/>
              <w:bottom w:val="single" w:sz="8" w:space="0" w:color="000000"/>
            </w:tcBorders>
            <w:shd w:fill="auto" w:val="clear"/>
          </w:tcPr>
          <w:p>
            <w:pPr>
              <w:pStyle w:val="Normal"/>
              <w:widowControl w:val="false"/>
              <w:spacing w:before="0" w:after="0"/>
              <w:ind w:left="0" w:right="0" w:hanging="0"/>
              <w:jc w:val="center"/>
              <w:textAlignment w:val="baseline"/>
              <w:rPr>
                <w:rFonts w:ascii="Times New Roman" w:hAnsi="Times New Roman"/>
                <w:sz w:val="24"/>
                <w:szCs w:val="24"/>
              </w:rPr>
            </w:pPr>
            <w:r>
              <w:rPr/>
              <w:t>№</w:t>
            </w:r>
          </w:p>
        </w:tc>
        <w:tc>
          <w:tcPr>
            <w:tcW w:w="1582" w:type="dxa"/>
            <w:tcBorders>
              <w:top w:val="single" w:sz="8" w:space="0" w:color="000000"/>
              <w:left w:val="single" w:sz="8" w:space="0" w:color="000000"/>
              <w:bottom w:val="single" w:sz="8" w:space="0" w:color="000000"/>
            </w:tcBorders>
            <w:shd w:fill="auto" w:val="clear"/>
          </w:tcPr>
          <w:p>
            <w:pPr>
              <w:pStyle w:val="Normal"/>
              <w:widowControl w:val="false"/>
              <w:spacing w:before="0" w:after="0"/>
              <w:ind w:left="0" w:right="0" w:hanging="0"/>
              <w:jc w:val="center"/>
              <w:textAlignment w:val="baseline"/>
              <w:rPr>
                <w:rFonts w:ascii="Times New Roman" w:hAnsi="Times New Roman"/>
                <w:sz w:val="24"/>
                <w:szCs w:val="24"/>
              </w:rPr>
            </w:pPr>
            <w:r>
              <w:rPr/>
              <w:t>Наименование документа</w:t>
            </w:r>
          </w:p>
        </w:tc>
        <w:tc>
          <w:tcPr>
            <w:tcW w:w="842" w:type="dxa"/>
            <w:tcBorders>
              <w:top w:val="single" w:sz="8" w:space="0" w:color="000000"/>
              <w:left w:val="single" w:sz="8" w:space="0" w:color="000000"/>
              <w:bottom w:val="single" w:sz="8" w:space="0" w:color="000000"/>
            </w:tcBorders>
            <w:shd w:fill="auto" w:val="clear"/>
          </w:tcPr>
          <w:p>
            <w:pPr>
              <w:pStyle w:val="Normal"/>
              <w:widowControl w:val="false"/>
              <w:spacing w:before="0" w:after="0"/>
              <w:ind w:left="0" w:right="0" w:hanging="0"/>
              <w:jc w:val="center"/>
              <w:textAlignment w:val="baseline"/>
              <w:rPr>
                <w:rFonts w:ascii="Times New Roman" w:hAnsi="Times New Roman"/>
                <w:sz w:val="24"/>
                <w:szCs w:val="24"/>
              </w:rPr>
            </w:pPr>
            <w:r>
              <w:rPr/>
              <w:t>Дата и номер</w:t>
            </w:r>
          </w:p>
        </w:tc>
        <w:tc>
          <w:tcPr>
            <w:tcW w:w="1286" w:type="dxa"/>
            <w:tcBorders>
              <w:top w:val="single" w:sz="8" w:space="0" w:color="000000"/>
              <w:left w:val="single" w:sz="8" w:space="0" w:color="000000"/>
              <w:bottom w:val="single" w:sz="8" w:space="0" w:color="000000"/>
            </w:tcBorders>
            <w:shd w:fill="auto" w:val="clear"/>
          </w:tcPr>
          <w:p>
            <w:pPr>
              <w:pStyle w:val="Normal"/>
              <w:widowControl w:val="false"/>
              <w:spacing w:before="0" w:after="0"/>
              <w:ind w:left="0" w:right="0" w:hanging="0"/>
              <w:jc w:val="center"/>
              <w:textAlignment w:val="baseline"/>
              <w:rPr>
                <w:rFonts w:ascii="Times New Roman" w:hAnsi="Times New Roman"/>
                <w:sz w:val="24"/>
                <w:szCs w:val="24"/>
              </w:rPr>
            </w:pPr>
            <w:r>
              <w:rPr/>
              <w:t>Краткое содержание</w:t>
            </w:r>
          </w:p>
        </w:tc>
        <w:tc>
          <w:tcPr>
            <w:tcW w:w="1440" w:type="dxa"/>
            <w:tcBorders>
              <w:top w:val="single" w:sz="8" w:space="0" w:color="000000"/>
              <w:left w:val="single" w:sz="8" w:space="0" w:color="000000"/>
              <w:bottom w:val="single" w:sz="8" w:space="0" w:color="000000"/>
            </w:tcBorders>
            <w:shd w:fill="auto" w:val="clear"/>
          </w:tcPr>
          <w:p>
            <w:pPr>
              <w:pStyle w:val="Normal"/>
              <w:widowControl w:val="false"/>
              <w:spacing w:before="0" w:after="0"/>
              <w:ind w:left="0" w:right="0" w:hanging="0"/>
              <w:jc w:val="center"/>
              <w:textAlignment w:val="baseline"/>
              <w:rPr>
                <w:rFonts w:ascii="Times New Roman" w:hAnsi="Times New Roman"/>
                <w:sz w:val="24"/>
                <w:szCs w:val="24"/>
              </w:rPr>
            </w:pPr>
            <w:r>
              <w:rPr/>
              <w:t>Кем подписан документ</w:t>
            </w:r>
          </w:p>
        </w:tc>
        <w:tc>
          <w:tcPr>
            <w:tcW w:w="3486" w:type="dxa"/>
            <w:tcBorders>
              <w:top w:val="single" w:sz="8" w:space="0" w:color="000000"/>
              <w:left w:val="single" w:sz="8" w:space="0" w:color="000000"/>
              <w:bottom w:val="single" w:sz="8" w:space="0" w:color="000000"/>
            </w:tcBorders>
            <w:shd w:fill="auto" w:val="clear"/>
          </w:tcPr>
          <w:p>
            <w:pPr>
              <w:pStyle w:val="Normal"/>
              <w:widowControl w:val="false"/>
              <w:spacing w:before="0" w:after="0"/>
              <w:ind w:left="0" w:right="0" w:hanging="0"/>
              <w:jc w:val="center"/>
              <w:textAlignment w:val="baseline"/>
              <w:rPr>
                <w:rFonts w:ascii="Times New Roman" w:hAnsi="Times New Roman"/>
                <w:sz w:val="24"/>
                <w:szCs w:val="24"/>
              </w:rPr>
            </w:pPr>
            <w:r>
              <w:rPr/>
              <w:t>Оригинал, копия, нотариально засвидетельствованная копия</w:t>
            </w:r>
          </w:p>
        </w:tc>
        <w:tc>
          <w:tcPr>
            <w:tcW w:w="615" w:type="dxa"/>
            <w:tcBorders>
              <w:top w:val="single" w:sz="8" w:space="0" w:color="000000"/>
              <w:left w:val="single" w:sz="8" w:space="0" w:color="000000"/>
              <w:bottom w:val="single" w:sz="8" w:space="0" w:color="000000"/>
              <w:right w:val="single" w:sz="8" w:space="0" w:color="000000"/>
            </w:tcBorders>
            <w:shd w:fill="auto" w:val="clear"/>
          </w:tcPr>
          <w:p>
            <w:pPr>
              <w:pStyle w:val="Normal"/>
              <w:widowControl w:val="false"/>
              <w:spacing w:before="0" w:after="0"/>
              <w:ind w:left="0" w:right="0" w:hanging="0"/>
              <w:jc w:val="center"/>
              <w:textAlignment w:val="baseline"/>
              <w:rPr>
                <w:rFonts w:ascii="Times New Roman" w:hAnsi="Times New Roman"/>
                <w:sz w:val="24"/>
                <w:szCs w:val="24"/>
              </w:rPr>
            </w:pPr>
            <w:r>
              <w:rPr/>
              <w:t>Стр.</w:t>
            </w:r>
          </w:p>
        </w:tc>
      </w:tr>
    </w:tbl>
    <w:p>
      <w:pPr>
        <w:sectPr>
          <w:footerReference w:type="default" r:id="rId6"/>
          <w:type w:val="nextPage"/>
          <w:pgSz w:w="11906" w:h="16838"/>
          <w:pgMar w:left="1134" w:right="1134" w:gutter="0" w:header="0" w:top="1134" w:footer="1134" w:bottom="1750"/>
          <w:pgNumType w:fmt="decimal"/>
          <w:formProt w:val="false"/>
          <w:textDirection w:val="lrTb"/>
          <w:docGrid w:type="default" w:linePitch="100" w:charSpace="0"/>
        </w:sectPr>
      </w:pPr>
    </w:p>
    <w:p>
      <w:pPr>
        <w:pStyle w:val="Normal"/>
        <w:jc w:val="right"/>
        <w:textAlignment w:val="baseline"/>
        <w:rPr>
          <w:rFonts w:ascii="Times New Roman" w:hAnsi="Times New Roman"/>
          <w:sz w:val="24"/>
          <w:szCs w:val="24"/>
        </w:rPr>
      </w:pPr>
      <w:r>
        <w:rPr>
          <w:sz w:val="24"/>
          <w:szCs w:val="24"/>
        </w:rPr>
        <w:t>Приложение 5</w:t>
      </w:r>
    </w:p>
    <w:p>
      <w:pPr>
        <w:pStyle w:val="Normal"/>
        <w:jc w:val="right"/>
        <w:textAlignment w:val="baseline"/>
        <w:rPr>
          <w:rFonts w:ascii="Times New Roman" w:hAnsi="Times New Roman"/>
          <w:sz w:val="24"/>
          <w:szCs w:val="24"/>
        </w:rPr>
      </w:pPr>
      <w:r>
        <w:rPr>
          <w:rStyle w:val="S2"/>
          <w:color w:val="000000"/>
          <w:sz w:val="24"/>
          <w:szCs w:val="24"/>
          <w:u w:val="none"/>
        </w:rPr>
        <w:t xml:space="preserve">к тендерной документации </w:t>
        <w:br/>
        <w:t xml:space="preserve">для тендера </w:t>
      </w:r>
      <w:r>
        <w:rPr>
          <w:rStyle w:val="S2"/>
          <w:b/>
          <w:bCs/>
          <w:color w:val="000000"/>
          <w:sz w:val="24"/>
          <w:szCs w:val="24"/>
          <w:u w:val="none"/>
          <w:lang w:val="kk-KZ"/>
        </w:rPr>
        <w:t>№2 «</w:t>
      </w:r>
      <w:r>
        <w:rPr>
          <w:rStyle w:val="S2"/>
          <w:rFonts w:eastAsia="Noto Serif CJK SC" w:cs="Lohit Devanagari"/>
          <w:b/>
          <w:bCs/>
          <w:color w:val="auto"/>
          <w:kern w:val="2"/>
          <w:sz w:val="24"/>
          <w:szCs w:val="24"/>
          <w:u w:val="none"/>
          <w:lang w:val="kk-KZ" w:eastAsia="zh-CN" w:bidi="hi-IN"/>
        </w:rPr>
        <w:t>Медицинское оборудование для родильного отделения</w:t>
      </w:r>
      <w:r>
        <w:rPr>
          <w:rStyle w:val="S2"/>
          <w:b/>
          <w:bCs/>
          <w:color w:val="000000"/>
          <w:sz w:val="24"/>
          <w:szCs w:val="24"/>
          <w:u w:val="none"/>
          <w:lang w:val="kk-KZ"/>
        </w:rPr>
        <w:t>»</w:t>
      </w:r>
      <w:r>
        <w:rPr>
          <w:rStyle w:val="S2"/>
          <w:sz w:val="24"/>
          <w:szCs w:val="24"/>
          <w:u w:val="none"/>
        </w:rPr>
        <w:t xml:space="preserve"> </w:t>
      </w:r>
    </w:p>
    <w:p>
      <w:pPr>
        <w:pStyle w:val="Normal"/>
        <w:jc w:val="right"/>
        <w:textAlignment w:val="baseline"/>
        <w:rPr>
          <w:rFonts w:ascii="Times New Roman" w:hAnsi="Times New Roman"/>
          <w:sz w:val="24"/>
          <w:szCs w:val="24"/>
        </w:rPr>
      </w:pPr>
      <w:r>
        <w:rPr>
          <w:sz w:val="24"/>
          <w:szCs w:val="24"/>
        </w:rPr>
        <w:t> </w:t>
      </w:r>
    </w:p>
    <w:p>
      <w:pPr>
        <w:pStyle w:val="Normal"/>
        <w:jc w:val="right"/>
        <w:textAlignment w:val="baseline"/>
        <w:rPr>
          <w:rFonts w:ascii="Times New Roman" w:hAnsi="Times New Roman"/>
          <w:sz w:val="24"/>
          <w:szCs w:val="24"/>
        </w:rPr>
      </w:pPr>
      <w:r>
        <w:rPr>
          <w:sz w:val="24"/>
          <w:szCs w:val="24"/>
        </w:rPr>
        <w:t> </w:t>
      </w:r>
    </w:p>
    <w:p>
      <w:pPr>
        <w:pStyle w:val="Normal"/>
        <w:jc w:val="right"/>
        <w:textAlignment w:val="baseline"/>
        <w:rPr>
          <w:rFonts w:ascii="Times New Roman" w:hAnsi="Times New Roman"/>
          <w:sz w:val="24"/>
          <w:szCs w:val="24"/>
        </w:rPr>
      </w:pPr>
      <w:r>
        <w:rPr>
          <w:sz w:val="24"/>
          <w:szCs w:val="24"/>
        </w:rPr>
        <w:t>Форма</w:t>
      </w:r>
    </w:p>
    <w:p>
      <w:pPr>
        <w:pStyle w:val="Normal"/>
        <w:jc w:val="right"/>
        <w:textAlignment w:val="baseline"/>
        <w:rPr>
          <w:rFonts w:ascii="Times New Roman" w:hAnsi="Times New Roman"/>
          <w:sz w:val="24"/>
          <w:szCs w:val="24"/>
        </w:rPr>
      </w:pPr>
      <w:r>
        <w:rPr>
          <w:sz w:val="24"/>
          <w:szCs w:val="24"/>
        </w:rPr>
        <w:t> </w:t>
      </w:r>
    </w:p>
    <w:p>
      <w:pPr>
        <w:pStyle w:val="Heading3"/>
        <w:spacing w:before="280" w:after="280"/>
        <w:rPr>
          <w:rFonts w:ascii="Times New Roman" w:hAnsi="Times New Roman"/>
          <w:sz w:val="24"/>
          <w:szCs w:val="24"/>
        </w:rPr>
      </w:pPr>
      <w:bookmarkStart w:id="119" w:name="__RefHeading___Toc3432_223126817"/>
      <w:bookmarkEnd w:id="119"/>
      <w:r>
        <w:rPr>
          <w:rStyle w:val="S1"/>
          <w:b/>
          <w:sz w:val="27"/>
          <w:szCs w:val="27"/>
        </w:rPr>
        <w:t>Справка об отсутствии просроченной задолженности</w:t>
      </w:r>
    </w:p>
    <w:p>
      <w:pPr>
        <w:pStyle w:val="Normal"/>
        <w:jc w:val="center"/>
        <w:textAlignment w:val="baseline"/>
        <w:rPr>
          <w:rFonts w:ascii="Times New Roman" w:hAnsi="Times New Roman"/>
          <w:sz w:val="24"/>
          <w:szCs w:val="24"/>
        </w:rPr>
      </w:pPr>
      <w:r>
        <w:rPr>
          <w:sz w:val="24"/>
          <w:szCs w:val="24"/>
        </w:rPr>
        <w:t> </w:t>
      </w:r>
    </w:p>
    <w:p>
      <w:pPr>
        <w:pStyle w:val="Normal"/>
        <w:ind w:left="0" w:right="0" w:firstLine="400"/>
        <w:jc w:val="both"/>
        <w:rPr>
          <w:rFonts w:ascii="Times New Roman" w:hAnsi="Times New Roman"/>
          <w:sz w:val="24"/>
          <w:szCs w:val="24"/>
        </w:rPr>
      </w:pPr>
      <w:r>
        <w:rPr>
          <w:rStyle w:val="S0"/>
          <w:sz w:val="24"/>
          <w:szCs w:val="24"/>
        </w:rPr>
        <w:t xml:space="preserve">Банк/филиал банка (наименование) по состоянию на __________________ подтверждает отсутствие просроченной задолженности по всем видам его обязательств длящейся более трех месяцев перед банком, согласно типовому плану счетов бухгалтерского учета в банках второго уровня, ипотечных организациях и акционерном обществе «Банк Развития Казахстана», утвержденному постановлением правления Национального Банка Республики Казахстан </w:t>
      </w:r>
    </w:p>
    <w:p>
      <w:pPr>
        <w:pStyle w:val="Normal"/>
        <w:ind w:left="0" w:right="0" w:firstLine="400"/>
        <w:jc w:val="both"/>
        <w:rPr>
          <w:rFonts w:ascii="Times New Roman" w:hAnsi="Times New Roman"/>
          <w:sz w:val="24"/>
          <w:szCs w:val="24"/>
        </w:rPr>
      </w:pPr>
      <w:r>
        <w:rPr>
          <w:rStyle w:val="S0"/>
          <w:sz w:val="24"/>
          <w:szCs w:val="24"/>
        </w:rPr>
        <w:t>___________________________________________________________________</w:t>
      </w:r>
    </w:p>
    <w:p>
      <w:pPr>
        <w:pStyle w:val="Normal"/>
        <w:ind w:left="0" w:right="0" w:firstLine="400"/>
        <w:jc w:val="both"/>
        <w:rPr>
          <w:rFonts w:ascii="Times New Roman" w:hAnsi="Times New Roman"/>
          <w:sz w:val="24"/>
          <w:szCs w:val="24"/>
        </w:rPr>
      </w:pPr>
      <w:r>
        <w:rPr>
          <w:rStyle w:val="S0"/>
          <w:sz w:val="24"/>
          <w:szCs w:val="24"/>
        </w:rPr>
        <w:t>             </w:t>
      </w:r>
      <w:r>
        <w:rPr>
          <w:rStyle w:val="S0"/>
          <w:sz w:val="24"/>
          <w:szCs w:val="24"/>
        </w:rPr>
        <w:t xml:space="preserve">(указать полное наименование физического лица, </w:t>
      </w:r>
    </w:p>
    <w:p>
      <w:pPr>
        <w:pStyle w:val="Normal"/>
        <w:ind w:left="0" w:right="0" w:firstLine="400"/>
        <w:jc w:val="both"/>
        <w:rPr>
          <w:rFonts w:ascii="Times New Roman" w:hAnsi="Times New Roman"/>
          <w:sz w:val="24"/>
          <w:szCs w:val="24"/>
        </w:rPr>
      </w:pPr>
      <w:r>
        <w:rPr>
          <w:rStyle w:val="S0"/>
          <w:sz w:val="24"/>
          <w:szCs w:val="24"/>
        </w:rPr>
        <w:t>___________________________________________________________________</w:t>
      </w:r>
    </w:p>
    <w:p>
      <w:pPr>
        <w:pStyle w:val="Normal"/>
        <w:ind w:left="0" w:right="0" w:firstLine="400"/>
        <w:jc w:val="both"/>
        <w:rPr>
          <w:rFonts w:ascii="Times New Roman" w:hAnsi="Times New Roman"/>
          <w:sz w:val="24"/>
          <w:szCs w:val="24"/>
        </w:rPr>
      </w:pPr>
      <w:r>
        <w:rPr>
          <w:rStyle w:val="S0"/>
          <w:sz w:val="24"/>
          <w:szCs w:val="24"/>
        </w:rPr>
        <w:t>осуществляющего предпринимательскую деятельность, или юридического лица, телефон, адрес, БИН/ИИН*, БИК**), обсуживающегося в данном банке/филиале банка, выданной не ранее одного месяца предшествующего дате вскрытия конвертов.</w:t>
      </w:r>
    </w:p>
    <w:p>
      <w:pPr>
        <w:pStyle w:val="Normal"/>
        <w:ind w:left="0" w:right="0" w:firstLine="400"/>
        <w:jc w:val="both"/>
        <w:rPr>
          <w:rFonts w:ascii="Times New Roman" w:hAnsi="Times New Roman"/>
          <w:sz w:val="24"/>
          <w:szCs w:val="24"/>
        </w:rPr>
      </w:pPr>
      <w:r>
        <w:rPr>
          <w:rStyle w:val="S0"/>
          <w:sz w:val="24"/>
          <w:szCs w:val="24"/>
        </w:rPr>
        <w:t>Дата</w:t>
      </w:r>
    </w:p>
    <w:p>
      <w:pPr>
        <w:pStyle w:val="Normal"/>
        <w:ind w:left="0" w:right="0" w:firstLine="400"/>
        <w:jc w:val="both"/>
        <w:rPr>
          <w:rFonts w:ascii="Times New Roman" w:hAnsi="Times New Roman"/>
          <w:sz w:val="24"/>
          <w:szCs w:val="24"/>
        </w:rPr>
      </w:pPr>
      <w:r>
        <w:rPr>
          <w:rStyle w:val="S0"/>
          <w:sz w:val="24"/>
          <w:szCs w:val="24"/>
        </w:rPr>
        <w:t>Подпись</w:t>
      </w:r>
    </w:p>
    <w:p>
      <w:pPr>
        <w:pStyle w:val="Normal"/>
        <w:ind w:left="0" w:right="0" w:firstLine="400"/>
        <w:jc w:val="both"/>
        <w:rPr>
          <w:rFonts w:ascii="Times New Roman" w:hAnsi="Times New Roman"/>
          <w:sz w:val="24"/>
          <w:szCs w:val="24"/>
        </w:rPr>
      </w:pPr>
      <w:r>
        <w:rPr>
          <w:rStyle w:val="S0"/>
          <w:sz w:val="24"/>
          <w:szCs w:val="24"/>
        </w:rPr>
        <w:t>Печать</w:t>
      </w:r>
    </w:p>
    <w:p>
      <w:pPr>
        <w:pStyle w:val="Normal"/>
        <w:ind w:left="0" w:right="0" w:firstLine="400"/>
        <w:jc w:val="both"/>
        <w:rPr>
          <w:rFonts w:ascii="Times New Roman" w:hAnsi="Times New Roman"/>
          <w:sz w:val="24"/>
          <w:szCs w:val="24"/>
        </w:rPr>
      </w:pPr>
      <w:r>
        <w:rPr>
          <w:rStyle w:val="S0"/>
          <w:sz w:val="24"/>
          <w:szCs w:val="24"/>
        </w:rPr>
        <w:t>(при наличии)</w:t>
      </w:r>
    </w:p>
    <w:p>
      <w:pPr>
        <w:pStyle w:val="Normal"/>
        <w:ind w:left="0" w:right="0" w:firstLine="400"/>
        <w:jc w:val="both"/>
        <w:rPr>
          <w:rFonts w:ascii="Times New Roman" w:hAnsi="Times New Roman"/>
          <w:sz w:val="24"/>
          <w:szCs w:val="24"/>
        </w:rPr>
      </w:pPr>
      <w:r>
        <w:rPr>
          <w:rStyle w:val="S0"/>
          <w:sz w:val="24"/>
          <w:szCs w:val="24"/>
        </w:rPr>
        <w:t>*БИН/ИИН - бизнес идентификационный номер/ индивидуальный идентификационный номер;</w:t>
      </w:r>
    </w:p>
    <w:p>
      <w:pPr>
        <w:pStyle w:val="Normal"/>
        <w:shd w:val="clear" w:color="auto" w:fill="FFFFFF"/>
        <w:spacing w:beforeAutospacing="0" w:before="0" w:afterAutospacing="0" w:after="0"/>
        <w:ind w:left="0" w:right="0" w:firstLine="400"/>
        <w:jc w:val="both"/>
        <w:textAlignment w:val="baseline"/>
        <w:rPr>
          <w:rFonts w:ascii="Times New Roman" w:hAnsi="Times New Roman"/>
          <w:sz w:val="24"/>
          <w:szCs w:val="24"/>
        </w:rPr>
      </w:pPr>
      <w:r>
        <w:rPr>
          <w:rStyle w:val="S0"/>
          <w:sz w:val="24"/>
          <w:szCs w:val="24"/>
        </w:rPr>
        <w:t>**БИК - банковский идентификационный код.</w:t>
      </w:r>
      <w:r>
        <w:br w:type="page"/>
      </w:r>
    </w:p>
    <w:p>
      <w:pPr>
        <w:pStyle w:val="Normal"/>
        <w:shd w:val="clear" w:color="auto" w:fill="FFFFFF"/>
        <w:spacing w:beforeAutospacing="0" w:before="0" w:afterAutospacing="0" w:after="0"/>
        <w:ind w:left="0" w:right="0" w:firstLine="400"/>
        <w:jc w:val="both"/>
        <w:textAlignment w:val="baseline"/>
        <w:rPr>
          <w:rStyle w:val="S0"/>
          <w:rFonts w:ascii="Times New Roman" w:hAnsi="Times New Roman"/>
          <w:i w:val="false"/>
          <w:i w:val="false"/>
          <w:iCs w:val="false"/>
          <w:sz w:val="24"/>
          <w:szCs w:val="24"/>
        </w:rPr>
      </w:pPr>
      <w:r>
        <w:rPr>
          <w:i w:val="false"/>
          <w:iCs w:val="false"/>
          <w:sz w:val="24"/>
          <w:szCs w:val="24"/>
        </w:rPr>
      </w:r>
    </w:p>
    <w:p>
      <w:pPr>
        <w:pStyle w:val="J13"/>
        <w:shd w:val="clear" w:color="auto" w:fill="FFFFFF"/>
        <w:spacing w:beforeAutospacing="0" w:before="0" w:afterAutospacing="0" w:after="0"/>
        <w:ind w:left="0" w:right="0" w:firstLine="403"/>
        <w:jc w:val="right"/>
        <w:textAlignment w:val="baseline"/>
        <w:rPr>
          <w:i w:val="false"/>
          <w:i w:val="false"/>
          <w:iCs w:val="false"/>
        </w:rPr>
      </w:pPr>
      <w:r>
        <w:rPr>
          <w:i w:val="false"/>
          <w:iCs w:val="false"/>
          <w:sz w:val="24"/>
          <w:szCs w:val="24"/>
        </w:rPr>
        <w:t> </w:t>
      </w:r>
      <w:r>
        <w:rPr>
          <w:i w:val="false"/>
          <w:iCs w:val="false"/>
          <w:sz w:val="24"/>
          <w:szCs w:val="24"/>
        </w:rPr>
        <w:tab/>
        <w:tab/>
        <w:tab/>
        <w:tab/>
        <w:t>Приложение №6</w:t>
      </w:r>
    </w:p>
    <w:p>
      <w:pPr>
        <w:pStyle w:val="Normal"/>
        <w:ind w:left="0" w:right="0" w:firstLine="425"/>
        <w:jc w:val="right"/>
        <w:textAlignment w:val="baseline"/>
        <w:rPr>
          <w:rFonts w:ascii="Times New Roman" w:hAnsi="Times New Roman"/>
          <w:sz w:val="24"/>
          <w:szCs w:val="24"/>
        </w:rPr>
      </w:pPr>
      <w:r>
        <w:rPr>
          <w:rStyle w:val="S2"/>
          <w:i w:val="false"/>
          <w:iCs w:val="false"/>
          <w:color w:val="000000"/>
          <w:sz w:val="24"/>
          <w:szCs w:val="24"/>
          <w:u w:val="none"/>
        </w:rPr>
        <w:t xml:space="preserve">к тендерной документации </w:t>
        <w:br/>
        <w:t xml:space="preserve">для тендера </w:t>
      </w:r>
      <w:r>
        <w:rPr>
          <w:rStyle w:val="S2"/>
          <w:b/>
          <w:bCs/>
          <w:i w:val="false"/>
          <w:iCs w:val="false"/>
          <w:color w:val="000000"/>
          <w:sz w:val="24"/>
          <w:szCs w:val="24"/>
          <w:u w:val="none"/>
          <w:lang w:val="kk-KZ"/>
        </w:rPr>
        <w:t xml:space="preserve"> №2 «</w:t>
      </w:r>
      <w:r>
        <w:rPr>
          <w:rStyle w:val="S2"/>
          <w:rFonts w:eastAsia="Noto Serif CJK SC" w:cs="Lohit Devanagari"/>
          <w:b/>
          <w:bCs/>
          <w:i w:val="false"/>
          <w:iCs w:val="false"/>
          <w:color w:val="auto"/>
          <w:kern w:val="2"/>
          <w:sz w:val="24"/>
          <w:szCs w:val="24"/>
          <w:u w:val="none"/>
          <w:lang w:val="kk-KZ" w:eastAsia="zh-CN" w:bidi="hi-IN"/>
        </w:rPr>
        <w:t>Медицинское оборудование для родильного отделения</w:t>
      </w:r>
      <w:r>
        <w:rPr>
          <w:rStyle w:val="S2"/>
          <w:b/>
          <w:bCs/>
          <w:i w:val="false"/>
          <w:iCs w:val="false"/>
          <w:color w:val="000000"/>
          <w:sz w:val="24"/>
          <w:szCs w:val="24"/>
          <w:u w:val="none"/>
          <w:lang w:val="kk-KZ"/>
        </w:rPr>
        <w:t>»</w:t>
      </w:r>
    </w:p>
    <w:p>
      <w:pPr>
        <w:pStyle w:val="Heading3"/>
        <w:spacing w:before="280" w:after="280"/>
        <w:rPr>
          <w:rFonts w:ascii="Times New Roman" w:hAnsi="Times New Roman"/>
          <w:sz w:val="24"/>
          <w:szCs w:val="24"/>
        </w:rPr>
      </w:pPr>
      <w:bookmarkStart w:id="120" w:name="__RefHeading___Toc3434_223126817"/>
      <w:bookmarkEnd w:id="120"/>
      <w:r>
        <w:rPr/>
        <w:t>Таблица цен потенциального поставщика</w:t>
        <w:br/>
        <w:t>(наименование потенциального поставщика, заполняется</w:t>
        <w:br/>
        <w:t>отдельно на каждый лот)</w:t>
      </w:r>
    </w:p>
    <w:tbl>
      <w:tblPr>
        <w:tblW w:w="9573" w:type="dxa"/>
        <w:jc w:val="left"/>
        <w:tblInd w:w="-5" w:type="dxa"/>
        <w:tblLayout w:type="fixed"/>
        <w:tblCellMar>
          <w:top w:w="45" w:type="dxa"/>
          <w:left w:w="75" w:type="dxa"/>
          <w:bottom w:w="45" w:type="dxa"/>
          <w:right w:w="75" w:type="dxa"/>
        </w:tblCellMar>
        <w:tblLook w:firstRow="1" w:noVBand="1" w:lastRow="0" w:firstColumn="1" w:lastColumn="0" w:noHBand="0" w:val="04a0"/>
      </w:tblPr>
      <w:tblGrid>
        <w:gridCol w:w="641"/>
        <w:gridCol w:w="5950"/>
        <w:gridCol w:w="2982"/>
      </w:tblGrid>
      <w:tr>
        <w:trPr/>
        <w:tc>
          <w:tcPr>
            <w:tcW w:w="64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TextBody"/>
              <w:widowControl w:val="false"/>
              <w:spacing w:before="0" w:after="57"/>
              <w:ind w:left="0" w:right="0" w:hanging="0"/>
              <w:rPr>
                <w:rFonts w:ascii="Times New Roman" w:hAnsi="Times New Roman"/>
                <w:sz w:val="24"/>
                <w:szCs w:val="24"/>
              </w:rPr>
            </w:pPr>
            <w:r>
              <w:rPr/>
              <w:t>№</w:t>
            </w:r>
          </w:p>
        </w:tc>
        <w:tc>
          <w:tcPr>
            <w:tcW w:w="595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TextBody"/>
              <w:widowControl w:val="false"/>
              <w:spacing w:before="0" w:after="57"/>
              <w:ind w:left="0" w:right="0" w:hanging="0"/>
              <w:rPr>
                <w:rFonts w:ascii="Times New Roman" w:hAnsi="Times New Roman"/>
                <w:sz w:val="24"/>
                <w:szCs w:val="24"/>
              </w:rPr>
            </w:pPr>
            <w:r>
              <w:rPr/>
              <w:t>содержание</w:t>
            </w:r>
          </w:p>
        </w:tc>
        <w:tc>
          <w:tcPr>
            <w:tcW w:w="298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TextBody"/>
              <w:widowControl w:val="false"/>
              <w:spacing w:before="0" w:after="57"/>
              <w:ind w:left="0" w:right="0" w:hanging="0"/>
              <w:rPr>
                <w:rFonts w:ascii="Times New Roman" w:hAnsi="Times New Roman"/>
                <w:sz w:val="24"/>
                <w:szCs w:val="24"/>
              </w:rPr>
            </w:pPr>
            <w:r>
              <w:rPr/>
              <w:t>наименование товаров</w:t>
            </w:r>
          </w:p>
        </w:tc>
      </w:tr>
      <w:tr>
        <w:trPr/>
        <w:tc>
          <w:tcPr>
            <w:tcW w:w="641" w:type="dxa"/>
            <w:tcBorders>
              <w:top w:val="single" w:sz="4" w:space="0" w:color="000000"/>
              <w:left w:val="single" w:sz="4" w:space="0" w:color="000000"/>
              <w:bottom w:val="single" w:sz="4" w:space="0" w:color="000000"/>
              <w:right w:val="single" w:sz="4" w:space="0" w:color="000000"/>
            </w:tcBorders>
            <w:shd w:color="auto" w:fill="auto" w:val="clear"/>
          </w:tcPr>
          <w:p>
            <w:pPr>
              <w:pStyle w:val="TextBody"/>
              <w:widowControl w:val="false"/>
              <w:spacing w:before="0" w:after="57"/>
              <w:ind w:left="0" w:right="0" w:hanging="0"/>
              <w:rPr>
                <w:rFonts w:ascii="Times New Roman" w:hAnsi="Times New Roman"/>
                <w:sz w:val="24"/>
                <w:szCs w:val="24"/>
              </w:rPr>
            </w:pPr>
            <w:r>
              <w:rPr/>
              <w:t>1</w:t>
            </w:r>
          </w:p>
        </w:tc>
        <w:tc>
          <w:tcPr>
            <w:tcW w:w="5950" w:type="dxa"/>
            <w:tcBorders>
              <w:top w:val="single" w:sz="4" w:space="0" w:color="000000"/>
              <w:left w:val="single" w:sz="4" w:space="0" w:color="000000"/>
              <w:bottom w:val="single" w:sz="4" w:space="0" w:color="000000"/>
              <w:right w:val="single" w:sz="4" w:space="0" w:color="000000"/>
            </w:tcBorders>
            <w:shd w:color="auto" w:fill="auto" w:val="clear"/>
          </w:tcPr>
          <w:p>
            <w:pPr>
              <w:pStyle w:val="TextBody"/>
              <w:widowControl w:val="false"/>
              <w:spacing w:before="0" w:after="57"/>
              <w:ind w:left="0" w:right="0" w:hanging="0"/>
              <w:rPr>
                <w:rFonts w:ascii="Times New Roman" w:hAnsi="Times New Roman"/>
                <w:sz w:val="24"/>
                <w:szCs w:val="24"/>
              </w:rPr>
            </w:pPr>
            <w:r>
              <w:rPr/>
              <w:t>2</w:t>
            </w:r>
          </w:p>
        </w:tc>
        <w:tc>
          <w:tcPr>
            <w:tcW w:w="2982" w:type="dxa"/>
            <w:tcBorders>
              <w:top w:val="single" w:sz="4" w:space="0" w:color="000000"/>
              <w:left w:val="single" w:sz="4" w:space="0" w:color="000000"/>
              <w:bottom w:val="single" w:sz="4" w:space="0" w:color="000000"/>
              <w:right w:val="single" w:sz="4" w:space="0" w:color="000000"/>
            </w:tcBorders>
            <w:shd w:color="auto" w:fill="auto" w:val="clear"/>
          </w:tcPr>
          <w:p>
            <w:pPr>
              <w:pStyle w:val="TextBody"/>
              <w:widowControl w:val="false"/>
              <w:spacing w:before="0" w:after="57"/>
              <w:ind w:left="0" w:right="0" w:hanging="0"/>
              <w:rPr>
                <w:rFonts w:ascii="Times New Roman" w:hAnsi="Times New Roman"/>
                <w:sz w:val="24"/>
                <w:szCs w:val="24"/>
              </w:rPr>
            </w:pPr>
            <w:r>
              <w:rPr/>
              <w:t>3</w:t>
            </w:r>
          </w:p>
        </w:tc>
      </w:tr>
      <w:tr>
        <w:trPr/>
        <w:tc>
          <w:tcPr>
            <w:tcW w:w="641" w:type="dxa"/>
            <w:tcBorders>
              <w:top w:val="single" w:sz="4" w:space="0" w:color="000000"/>
              <w:left w:val="single" w:sz="4" w:space="0" w:color="000000"/>
              <w:bottom w:val="single" w:sz="4" w:space="0" w:color="000000"/>
              <w:right w:val="single" w:sz="4" w:space="0" w:color="000000"/>
            </w:tcBorders>
            <w:shd w:color="auto" w:fill="auto" w:val="clear"/>
          </w:tcPr>
          <w:p>
            <w:pPr>
              <w:pStyle w:val="TextBody"/>
              <w:widowControl w:val="false"/>
              <w:spacing w:before="0" w:after="57"/>
              <w:ind w:left="0" w:right="0" w:hanging="0"/>
              <w:rPr>
                <w:rFonts w:ascii="Times New Roman" w:hAnsi="Times New Roman"/>
                <w:sz w:val="24"/>
                <w:szCs w:val="24"/>
              </w:rPr>
            </w:pPr>
            <w:r>
              <w:rPr/>
              <w:t>1.</w:t>
            </w:r>
          </w:p>
        </w:tc>
        <w:tc>
          <w:tcPr>
            <w:tcW w:w="5950" w:type="dxa"/>
            <w:tcBorders>
              <w:top w:val="single" w:sz="4" w:space="0" w:color="000000"/>
              <w:left w:val="single" w:sz="4" w:space="0" w:color="000000"/>
              <w:bottom w:val="single" w:sz="4" w:space="0" w:color="000000"/>
              <w:right w:val="single" w:sz="4" w:space="0" w:color="000000"/>
            </w:tcBorders>
            <w:shd w:color="auto" w:fill="auto" w:val="clear"/>
          </w:tcPr>
          <w:p>
            <w:pPr>
              <w:pStyle w:val="TextBody"/>
              <w:widowControl w:val="false"/>
              <w:spacing w:before="0" w:after="57"/>
              <w:ind w:left="0" w:right="0" w:hanging="0"/>
              <w:rPr>
                <w:rFonts w:ascii="Times New Roman" w:hAnsi="Times New Roman"/>
                <w:sz w:val="24"/>
                <w:szCs w:val="24"/>
              </w:rPr>
            </w:pPr>
            <w:r>
              <w:rPr/>
              <w:t>Краткое описание</w:t>
            </w:r>
          </w:p>
        </w:tc>
        <w:tc>
          <w:tcPr>
            <w:tcW w:w="2982" w:type="dxa"/>
            <w:tcBorders>
              <w:top w:val="single" w:sz="4" w:space="0" w:color="000000"/>
              <w:left w:val="single" w:sz="4" w:space="0" w:color="000000"/>
              <w:bottom w:val="single" w:sz="4" w:space="0" w:color="000000"/>
              <w:right w:val="single" w:sz="4" w:space="0" w:color="000000"/>
            </w:tcBorders>
            <w:shd w:color="auto" w:fill="auto" w:val="clear"/>
          </w:tcPr>
          <w:p>
            <w:pPr>
              <w:pStyle w:val="TextBody"/>
              <w:widowControl w:val="false"/>
              <w:spacing w:before="0" w:after="57"/>
              <w:ind w:left="0" w:right="0" w:hanging="0"/>
              <w:rPr>
                <w:rFonts w:ascii="Times New Roman" w:hAnsi="Times New Roman"/>
                <w:sz w:val="24"/>
                <w:szCs w:val="24"/>
              </w:rPr>
            </w:pPr>
            <w:r>
              <w:rPr>
                <w:sz w:val="24"/>
                <w:szCs w:val="24"/>
              </w:rPr>
            </w:r>
          </w:p>
        </w:tc>
      </w:tr>
      <w:tr>
        <w:trPr/>
        <w:tc>
          <w:tcPr>
            <w:tcW w:w="641" w:type="dxa"/>
            <w:tcBorders>
              <w:top w:val="single" w:sz="4" w:space="0" w:color="000000"/>
              <w:left w:val="single" w:sz="4" w:space="0" w:color="000000"/>
              <w:bottom w:val="single" w:sz="4" w:space="0" w:color="000000"/>
              <w:right w:val="single" w:sz="4" w:space="0" w:color="000000"/>
            </w:tcBorders>
            <w:shd w:color="auto" w:fill="auto" w:val="clear"/>
          </w:tcPr>
          <w:p>
            <w:pPr>
              <w:pStyle w:val="TextBody"/>
              <w:widowControl w:val="false"/>
              <w:spacing w:before="0" w:after="57"/>
              <w:ind w:left="0" w:right="0" w:hanging="0"/>
              <w:rPr>
                <w:rFonts w:ascii="Times New Roman" w:hAnsi="Times New Roman"/>
                <w:sz w:val="24"/>
                <w:szCs w:val="24"/>
              </w:rPr>
            </w:pPr>
            <w:r>
              <w:rPr/>
              <w:t>2.</w:t>
            </w:r>
          </w:p>
        </w:tc>
        <w:tc>
          <w:tcPr>
            <w:tcW w:w="5950" w:type="dxa"/>
            <w:tcBorders>
              <w:top w:val="single" w:sz="4" w:space="0" w:color="000000"/>
              <w:left w:val="single" w:sz="4" w:space="0" w:color="000000"/>
              <w:bottom w:val="single" w:sz="4" w:space="0" w:color="000000"/>
              <w:right w:val="single" w:sz="4" w:space="0" w:color="000000"/>
            </w:tcBorders>
            <w:shd w:color="auto" w:fill="auto" w:val="clear"/>
          </w:tcPr>
          <w:p>
            <w:pPr>
              <w:pStyle w:val="TextBody"/>
              <w:widowControl w:val="false"/>
              <w:spacing w:before="0" w:after="57"/>
              <w:ind w:left="0" w:right="0" w:hanging="0"/>
              <w:rPr>
                <w:rFonts w:ascii="Times New Roman" w:hAnsi="Times New Roman"/>
                <w:sz w:val="24"/>
                <w:szCs w:val="24"/>
              </w:rPr>
            </w:pPr>
            <w:r>
              <w:rPr/>
              <w:t>Страна происхождения</w:t>
            </w:r>
          </w:p>
        </w:tc>
        <w:tc>
          <w:tcPr>
            <w:tcW w:w="2982" w:type="dxa"/>
            <w:tcBorders>
              <w:top w:val="single" w:sz="4" w:space="0" w:color="000000"/>
              <w:left w:val="single" w:sz="4" w:space="0" w:color="000000"/>
              <w:bottom w:val="single" w:sz="4" w:space="0" w:color="000000"/>
              <w:right w:val="single" w:sz="4" w:space="0" w:color="000000"/>
            </w:tcBorders>
            <w:shd w:color="auto" w:fill="auto" w:val="clear"/>
          </w:tcPr>
          <w:p>
            <w:pPr>
              <w:pStyle w:val="TextBody"/>
              <w:widowControl w:val="false"/>
              <w:spacing w:before="0" w:after="57"/>
              <w:ind w:left="0" w:right="0" w:hanging="0"/>
              <w:rPr>
                <w:rFonts w:ascii="Times New Roman" w:hAnsi="Times New Roman"/>
                <w:sz w:val="24"/>
                <w:szCs w:val="24"/>
              </w:rPr>
            </w:pPr>
            <w:r>
              <w:rPr>
                <w:sz w:val="24"/>
                <w:szCs w:val="24"/>
              </w:rPr>
            </w:r>
          </w:p>
        </w:tc>
      </w:tr>
      <w:tr>
        <w:trPr/>
        <w:tc>
          <w:tcPr>
            <w:tcW w:w="641" w:type="dxa"/>
            <w:tcBorders>
              <w:top w:val="single" w:sz="4" w:space="0" w:color="000000"/>
              <w:left w:val="single" w:sz="4" w:space="0" w:color="000000"/>
              <w:bottom w:val="single" w:sz="4" w:space="0" w:color="000000"/>
              <w:right w:val="single" w:sz="4" w:space="0" w:color="000000"/>
            </w:tcBorders>
            <w:shd w:color="auto" w:fill="auto" w:val="clear"/>
          </w:tcPr>
          <w:p>
            <w:pPr>
              <w:pStyle w:val="TextBody"/>
              <w:widowControl w:val="false"/>
              <w:spacing w:before="0" w:after="57"/>
              <w:ind w:left="0" w:right="0" w:hanging="0"/>
              <w:rPr>
                <w:rFonts w:ascii="Times New Roman" w:hAnsi="Times New Roman"/>
                <w:sz w:val="24"/>
                <w:szCs w:val="24"/>
              </w:rPr>
            </w:pPr>
            <w:r>
              <w:rPr/>
              <w:t>3.</w:t>
            </w:r>
          </w:p>
        </w:tc>
        <w:tc>
          <w:tcPr>
            <w:tcW w:w="5950" w:type="dxa"/>
            <w:tcBorders>
              <w:top w:val="single" w:sz="4" w:space="0" w:color="000000"/>
              <w:left w:val="single" w:sz="4" w:space="0" w:color="000000"/>
              <w:bottom w:val="single" w:sz="4" w:space="0" w:color="000000"/>
              <w:right w:val="single" w:sz="4" w:space="0" w:color="000000"/>
            </w:tcBorders>
            <w:shd w:color="auto" w:fill="auto" w:val="clear"/>
          </w:tcPr>
          <w:p>
            <w:pPr>
              <w:pStyle w:val="TextBody"/>
              <w:widowControl w:val="false"/>
              <w:spacing w:before="0" w:after="57"/>
              <w:ind w:left="0" w:right="0" w:hanging="0"/>
              <w:rPr>
                <w:rFonts w:ascii="Times New Roman" w:hAnsi="Times New Roman"/>
                <w:sz w:val="24"/>
                <w:szCs w:val="24"/>
              </w:rPr>
            </w:pPr>
            <w:r>
              <w:rPr/>
              <w:t>Завод-изготовитель</w:t>
            </w:r>
          </w:p>
        </w:tc>
        <w:tc>
          <w:tcPr>
            <w:tcW w:w="2982" w:type="dxa"/>
            <w:tcBorders>
              <w:top w:val="single" w:sz="4" w:space="0" w:color="000000"/>
              <w:left w:val="single" w:sz="4" w:space="0" w:color="000000"/>
              <w:bottom w:val="single" w:sz="4" w:space="0" w:color="000000"/>
              <w:right w:val="single" w:sz="4" w:space="0" w:color="000000"/>
            </w:tcBorders>
            <w:shd w:color="auto" w:fill="auto" w:val="clear"/>
          </w:tcPr>
          <w:p>
            <w:pPr>
              <w:pStyle w:val="TextBody"/>
              <w:widowControl w:val="false"/>
              <w:spacing w:before="0" w:after="57"/>
              <w:ind w:left="0" w:right="0" w:hanging="0"/>
              <w:rPr>
                <w:rFonts w:ascii="Times New Roman" w:hAnsi="Times New Roman"/>
                <w:sz w:val="24"/>
                <w:szCs w:val="24"/>
              </w:rPr>
            </w:pPr>
            <w:r>
              <w:rPr>
                <w:sz w:val="24"/>
                <w:szCs w:val="24"/>
              </w:rPr>
            </w:r>
          </w:p>
        </w:tc>
      </w:tr>
      <w:tr>
        <w:trPr/>
        <w:tc>
          <w:tcPr>
            <w:tcW w:w="641" w:type="dxa"/>
            <w:tcBorders>
              <w:top w:val="single" w:sz="4" w:space="0" w:color="000000"/>
              <w:left w:val="single" w:sz="4" w:space="0" w:color="000000"/>
              <w:bottom w:val="single" w:sz="4" w:space="0" w:color="000000"/>
              <w:right w:val="single" w:sz="4" w:space="0" w:color="000000"/>
            </w:tcBorders>
            <w:shd w:color="auto" w:fill="auto" w:val="clear"/>
          </w:tcPr>
          <w:p>
            <w:pPr>
              <w:pStyle w:val="TextBody"/>
              <w:widowControl w:val="false"/>
              <w:spacing w:before="0" w:after="57"/>
              <w:ind w:left="0" w:right="0" w:hanging="0"/>
              <w:rPr>
                <w:rFonts w:ascii="Times New Roman" w:hAnsi="Times New Roman"/>
                <w:sz w:val="24"/>
                <w:szCs w:val="24"/>
              </w:rPr>
            </w:pPr>
            <w:r>
              <w:rPr/>
              <w:t>4.</w:t>
            </w:r>
          </w:p>
        </w:tc>
        <w:tc>
          <w:tcPr>
            <w:tcW w:w="5950" w:type="dxa"/>
            <w:tcBorders>
              <w:top w:val="single" w:sz="4" w:space="0" w:color="000000"/>
              <w:left w:val="single" w:sz="4" w:space="0" w:color="000000"/>
              <w:bottom w:val="single" w:sz="4" w:space="0" w:color="000000"/>
              <w:right w:val="single" w:sz="4" w:space="0" w:color="000000"/>
            </w:tcBorders>
            <w:shd w:color="auto" w:fill="auto" w:val="clear"/>
          </w:tcPr>
          <w:p>
            <w:pPr>
              <w:pStyle w:val="TextBody"/>
              <w:widowControl w:val="false"/>
              <w:spacing w:before="0" w:after="57"/>
              <w:ind w:left="0" w:right="0" w:hanging="0"/>
              <w:rPr>
                <w:rFonts w:ascii="Times New Roman" w:hAnsi="Times New Roman"/>
                <w:sz w:val="24"/>
                <w:szCs w:val="24"/>
              </w:rPr>
            </w:pPr>
            <w:r>
              <w:rPr/>
              <w:t>Единица измерения</w:t>
            </w:r>
          </w:p>
        </w:tc>
        <w:tc>
          <w:tcPr>
            <w:tcW w:w="2982" w:type="dxa"/>
            <w:tcBorders>
              <w:top w:val="single" w:sz="4" w:space="0" w:color="000000"/>
              <w:left w:val="single" w:sz="4" w:space="0" w:color="000000"/>
              <w:bottom w:val="single" w:sz="4" w:space="0" w:color="000000"/>
              <w:right w:val="single" w:sz="4" w:space="0" w:color="000000"/>
            </w:tcBorders>
            <w:shd w:color="auto" w:fill="auto" w:val="clear"/>
          </w:tcPr>
          <w:p>
            <w:pPr>
              <w:pStyle w:val="TextBody"/>
              <w:widowControl w:val="false"/>
              <w:spacing w:before="0" w:after="57"/>
              <w:ind w:left="0" w:right="0" w:hanging="0"/>
              <w:rPr>
                <w:rFonts w:ascii="Times New Roman" w:hAnsi="Times New Roman"/>
                <w:sz w:val="24"/>
                <w:szCs w:val="24"/>
              </w:rPr>
            </w:pPr>
            <w:r>
              <w:rPr>
                <w:sz w:val="24"/>
                <w:szCs w:val="24"/>
              </w:rPr>
            </w:r>
          </w:p>
        </w:tc>
      </w:tr>
      <w:tr>
        <w:trPr/>
        <w:tc>
          <w:tcPr>
            <w:tcW w:w="641" w:type="dxa"/>
            <w:tcBorders>
              <w:top w:val="single" w:sz="4" w:space="0" w:color="000000"/>
              <w:left w:val="single" w:sz="4" w:space="0" w:color="000000"/>
              <w:bottom w:val="single" w:sz="4" w:space="0" w:color="000000"/>
              <w:right w:val="single" w:sz="4" w:space="0" w:color="000000"/>
            </w:tcBorders>
            <w:shd w:color="auto" w:fill="auto" w:val="clear"/>
          </w:tcPr>
          <w:p>
            <w:pPr>
              <w:pStyle w:val="TextBody"/>
              <w:widowControl w:val="false"/>
              <w:spacing w:before="0" w:after="57"/>
              <w:ind w:left="0" w:right="0" w:hanging="0"/>
              <w:rPr>
                <w:rFonts w:ascii="Times New Roman" w:hAnsi="Times New Roman"/>
                <w:sz w:val="24"/>
                <w:szCs w:val="24"/>
              </w:rPr>
            </w:pPr>
            <w:r>
              <w:rPr/>
              <w:t>5.</w:t>
            </w:r>
          </w:p>
        </w:tc>
        <w:tc>
          <w:tcPr>
            <w:tcW w:w="5950" w:type="dxa"/>
            <w:tcBorders>
              <w:top w:val="single" w:sz="4" w:space="0" w:color="000000"/>
              <w:left w:val="single" w:sz="4" w:space="0" w:color="000000"/>
              <w:bottom w:val="single" w:sz="4" w:space="0" w:color="000000"/>
              <w:right w:val="single" w:sz="4" w:space="0" w:color="000000"/>
            </w:tcBorders>
            <w:shd w:color="auto" w:fill="auto" w:val="clear"/>
          </w:tcPr>
          <w:p>
            <w:pPr>
              <w:pStyle w:val="TextBody"/>
              <w:widowControl w:val="false"/>
              <w:ind w:left="0" w:right="0" w:hanging="0"/>
              <w:rPr>
                <w:rFonts w:ascii="Times New Roman" w:hAnsi="Times New Roman"/>
                <w:sz w:val="24"/>
                <w:szCs w:val="24"/>
              </w:rPr>
            </w:pPr>
            <w:r>
              <w:rPr/>
              <w:t>Цена ________ за единицу в ____ на условиях ________________ ИНКОТЕРМС 2010</w:t>
            </w:r>
          </w:p>
          <w:p>
            <w:pPr>
              <w:pStyle w:val="TextBody"/>
              <w:widowControl w:val="false"/>
              <w:spacing w:before="0" w:after="57"/>
              <w:ind w:left="0" w:right="0" w:hanging="0"/>
              <w:rPr>
                <w:rFonts w:ascii="Times New Roman" w:hAnsi="Times New Roman"/>
                <w:sz w:val="24"/>
                <w:szCs w:val="24"/>
              </w:rPr>
            </w:pPr>
            <w:r>
              <w:rPr/>
              <w:t>(пункт назначения)</w:t>
            </w:r>
          </w:p>
        </w:tc>
        <w:tc>
          <w:tcPr>
            <w:tcW w:w="2982" w:type="dxa"/>
            <w:tcBorders>
              <w:top w:val="single" w:sz="4" w:space="0" w:color="000000"/>
              <w:left w:val="single" w:sz="4" w:space="0" w:color="000000"/>
              <w:bottom w:val="single" w:sz="4" w:space="0" w:color="000000"/>
              <w:right w:val="single" w:sz="4" w:space="0" w:color="000000"/>
            </w:tcBorders>
            <w:shd w:color="auto" w:fill="auto" w:val="clear"/>
          </w:tcPr>
          <w:p>
            <w:pPr>
              <w:pStyle w:val="TextBody"/>
              <w:widowControl w:val="false"/>
              <w:spacing w:before="0" w:after="57"/>
              <w:ind w:left="0" w:right="0" w:hanging="0"/>
              <w:rPr>
                <w:rFonts w:ascii="Times New Roman" w:hAnsi="Times New Roman"/>
                <w:sz w:val="24"/>
                <w:szCs w:val="24"/>
              </w:rPr>
            </w:pPr>
            <w:r>
              <w:rPr>
                <w:sz w:val="24"/>
                <w:szCs w:val="24"/>
              </w:rPr>
            </w:r>
          </w:p>
        </w:tc>
      </w:tr>
      <w:tr>
        <w:trPr/>
        <w:tc>
          <w:tcPr>
            <w:tcW w:w="641" w:type="dxa"/>
            <w:tcBorders>
              <w:top w:val="single" w:sz="4" w:space="0" w:color="000000"/>
              <w:left w:val="single" w:sz="4" w:space="0" w:color="000000"/>
              <w:bottom w:val="single" w:sz="4" w:space="0" w:color="000000"/>
              <w:right w:val="single" w:sz="4" w:space="0" w:color="000000"/>
            </w:tcBorders>
            <w:shd w:color="auto" w:fill="auto" w:val="clear"/>
          </w:tcPr>
          <w:p>
            <w:pPr>
              <w:pStyle w:val="TextBody"/>
              <w:widowControl w:val="false"/>
              <w:spacing w:before="0" w:after="57"/>
              <w:ind w:left="0" w:right="0" w:hanging="0"/>
              <w:rPr>
                <w:rFonts w:ascii="Times New Roman" w:hAnsi="Times New Roman"/>
                <w:sz w:val="24"/>
                <w:szCs w:val="24"/>
              </w:rPr>
            </w:pPr>
            <w:r>
              <w:rPr/>
              <w:t>6.</w:t>
            </w:r>
          </w:p>
        </w:tc>
        <w:tc>
          <w:tcPr>
            <w:tcW w:w="5950" w:type="dxa"/>
            <w:tcBorders>
              <w:top w:val="single" w:sz="4" w:space="0" w:color="000000"/>
              <w:left w:val="single" w:sz="4" w:space="0" w:color="000000"/>
              <w:bottom w:val="single" w:sz="4" w:space="0" w:color="000000"/>
              <w:right w:val="single" w:sz="4" w:space="0" w:color="000000"/>
            </w:tcBorders>
            <w:shd w:color="auto" w:fill="auto" w:val="clear"/>
          </w:tcPr>
          <w:p>
            <w:pPr>
              <w:pStyle w:val="TextBody"/>
              <w:widowControl w:val="false"/>
              <w:spacing w:before="0" w:after="57"/>
              <w:ind w:left="0" w:right="0" w:hanging="0"/>
              <w:rPr>
                <w:rFonts w:ascii="Times New Roman" w:hAnsi="Times New Roman"/>
                <w:sz w:val="24"/>
                <w:szCs w:val="24"/>
              </w:rPr>
            </w:pPr>
            <w:r>
              <w:rPr/>
              <w:t>Количество (объем)</w:t>
            </w:r>
          </w:p>
        </w:tc>
        <w:tc>
          <w:tcPr>
            <w:tcW w:w="2982" w:type="dxa"/>
            <w:tcBorders>
              <w:top w:val="single" w:sz="4" w:space="0" w:color="000000"/>
              <w:left w:val="single" w:sz="4" w:space="0" w:color="000000"/>
              <w:bottom w:val="single" w:sz="4" w:space="0" w:color="000000"/>
              <w:right w:val="single" w:sz="4" w:space="0" w:color="000000"/>
            </w:tcBorders>
            <w:shd w:color="auto" w:fill="auto" w:val="clear"/>
          </w:tcPr>
          <w:p>
            <w:pPr>
              <w:pStyle w:val="TextBody"/>
              <w:widowControl w:val="false"/>
              <w:spacing w:before="0" w:after="57"/>
              <w:ind w:left="0" w:right="0" w:hanging="0"/>
              <w:rPr>
                <w:rFonts w:ascii="Times New Roman" w:hAnsi="Times New Roman"/>
                <w:sz w:val="24"/>
                <w:szCs w:val="24"/>
              </w:rPr>
            </w:pPr>
            <w:r>
              <w:rPr>
                <w:sz w:val="24"/>
                <w:szCs w:val="24"/>
              </w:rPr>
            </w:r>
          </w:p>
        </w:tc>
      </w:tr>
      <w:tr>
        <w:trPr/>
        <w:tc>
          <w:tcPr>
            <w:tcW w:w="641" w:type="dxa"/>
            <w:tcBorders>
              <w:top w:val="single" w:sz="4" w:space="0" w:color="000000"/>
              <w:left w:val="single" w:sz="4" w:space="0" w:color="000000"/>
              <w:bottom w:val="single" w:sz="4" w:space="0" w:color="000000"/>
              <w:right w:val="single" w:sz="4" w:space="0" w:color="000000"/>
            </w:tcBorders>
            <w:shd w:color="auto" w:fill="auto" w:val="clear"/>
          </w:tcPr>
          <w:p>
            <w:pPr>
              <w:pStyle w:val="TextBody"/>
              <w:widowControl w:val="false"/>
              <w:spacing w:before="0" w:after="57"/>
              <w:ind w:left="0" w:right="0" w:hanging="0"/>
              <w:rPr>
                <w:rFonts w:ascii="Times New Roman" w:hAnsi="Times New Roman"/>
                <w:sz w:val="24"/>
                <w:szCs w:val="24"/>
              </w:rPr>
            </w:pPr>
            <w:r>
              <w:rPr/>
              <w:t>7.</w:t>
            </w:r>
          </w:p>
        </w:tc>
        <w:tc>
          <w:tcPr>
            <w:tcW w:w="5950" w:type="dxa"/>
            <w:tcBorders>
              <w:top w:val="single" w:sz="4" w:space="0" w:color="000000"/>
              <w:left w:val="single" w:sz="4" w:space="0" w:color="000000"/>
              <w:bottom w:val="single" w:sz="4" w:space="0" w:color="000000"/>
              <w:right w:val="single" w:sz="4" w:space="0" w:color="000000"/>
            </w:tcBorders>
            <w:shd w:color="auto" w:fill="auto" w:val="clear"/>
          </w:tcPr>
          <w:p>
            <w:pPr>
              <w:pStyle w:val="TextBody"/>
              <w:widowControl w:val="false"/>
              <w:spacing w:before="0" w:after="57"/>
              <w:ind w:left="0" w:right="0" w:hanging="0"/>
              <w:rPr>
                <w:rFonts w:ascii="Times New Roman" w:hAnsi="Times New Roman"/>
                <w:sz w:val="24"/>
                <w:szCs w:val="24"/>
              </w:rPr>
            </w:pPr>
            <w:r>
              <w:rPr/>
              <w:t>Всего цена = стр.5 х стр.6, в ____</w:t>
            </w:r>
          </w:p>
        </w:tc>
        <w:tc>
          <w:tcPr>
            <w:tcW w:w="2982" w:type="dxa"/>
            <w:tcBorders>
              <w:top w:val="single" w:sz="4" w:space="0" w:color="000000"/>
              <w:left w:val="single" w:sz="4" w:space="0" w:color="000000"/>
              <w:bottom w:val="single" w:sz="4" w:space="0" w:color="000000"/>
              <w:right w:val="single" w:sz="4" w:space="0" w:color="000000"/>
            </w:tcBorders>
            <w:shd w:color="auto" w:fill="auto" w:val="clear"/>
          </w:tcPr>
          <w:p>
            <w:pPr>
              <w:pStyle w:val="TextBody"/>
              <w:widowControl w:val="false"/>
              <w:spacing w:before="0" w:after="57"/>
              <w:ind w:left="0" w:right="0" w:hanging="0"/>
              <w:rPr>
                <w:rFonts w:ascii="Times New Roman" w:hAnsi="Times New Roman"/>
                <w:sz w:val="24"/>
                <w:szCs w:val="24"/>
              </w:rPr>
            </w:pPr>
            <w:r>
              <w:rPr>
                <w:sz w:val="24"/>
                <w:szCs w:val="24"/>
              </w:rPr>
            </w:r>
          </w:p>
        </w:tc>
      </w:tr>
      <w:tr>
        <w:trPr/>
        <w:tc>
          <w:tcPr>
            <w:tcW w:w="641" w:type="dxa"/>
            <w:tcBorders>
              <w:top w:val="single" w:sz="4" w:space="0" w:color="000000"/>
              <w:left w:val="single" w:sz="4" w:space="0" w:color="000000"/>
              <w:bottom w:val="single" w:sz="4" w:space="0" w:color="000000"/>
              <w:right w:val="single" w:sz="4" w:space="0" w:color="000000"/>
            </w:tcBorders>
            <w:shd w:color="auto" w:fill="auto" w:val="clear"/>
          </w:tcPr>
          <w:p>
            <w:pPr>
              <w:pStyle w:val="TextBody"/>
              <w:widowControl w:val="false"/>
              <w:spacing w:before="0" w:after="57"/>
              <w:ind w:left="0" w:right="0" w:hanging="0"/>
              <w:rPr>
                <w:rFonts w:ascii="Times New Roman" w:hAnsi="Times New Roman"/>
                <w:sz w:val="24"/>
                <w:szCs w:val="24"/>
              </w:rPr>
            </w:pPr>
            <w:r>
              <w:rPr/>
              <w:t>8.</w:t>
            </w:r>
          </w:p>
        </w:tc>
        <w:tc>
          <w:tcPr>
            <w:tcW w:w="5950" w:type="dxa"/>
            <w:tcBorders>
              <w:top w:val="single" w:sz="4" w:space="0" w:color="000000"/>
              <w:left w:val="single" w:sz="4" w:space="0" w:color="000000"/>
              <w:bottom w:val="single" w:sz="4" w:space="0" w:color="000000"/>
              <w:right w:val="single" w:sz="4" w:space="0" w:color="000000"/>
            </w:tcBorders>
            <w:shd w:color="auto" w:fill="auto" w:val="clear"/>
          </w:tcPr>
          <w:p>
            <w:pPr>
              <w:pStyle w:val="TextBody"/>
              <w:widowControl w:val="false"/>
              <w:ind w:left="0" w:right="0" w:hanging="0"/>
              <w:rPr>
                <w:rFonts w:ascii="Times New Roman" w:hAnsi="Times New Roman"/>
                <w:sz w:val="24"/>
                <w:szCs w:val="24"/>
              </w:rPr>
            </w:pPr>
            <w:r>
              <w:rPr>
                <w:spacing w:val="2"/>
                <w:sz w:val="24"/>
                <w:szCs w:val="24"/>
              </w:rPr>
              <w:t>Общая цена, в ________ на условиях</w:t>
              <w:br/>
              <w:t>___________________ ИНКОТЕРМС 2010</w:t>
              <w:br/>
              <w:t xml:space="preserve">   (пункт назначения, </w:t>
            </w:r>
            <w:r>
              <w:rPr>
                <w:spacing w:val="2"/>
                <w:sz w:val="24"/>
                <w:szCs w:val="24"/>
                <w:lang w:val="en-US"/>
              </w:rPr>
              <w:t>DDP</w:t>
            </w:r>
            <w:r>
              <w:rPr>
                <w:spacing w:val="2"/>
                <w:sz w:val="24"/>
                <w:szCs w:val="24"/>
              </w:rPr>
              <w:t>)</w:t>
              <w:br/>
              <w:t>включая все расходы потенциального поставщика на транспортировку, страхование, уплату таможенных</w:t>
              <w:br/>
              <w:t>пошлин, НДС и других налогов, платежей и сборов, и другие расходы.</w:t>
            </w:r>
          </w:p>
          <w:p>
            <w:pPr>
              <w:pStyle w:val="TextBody"/>
              <w:widowControl w:val="false"/>
              <w:ind w:left="0" w:right="0" w:hanging="0"/>
              <w:rPr>
                <w:rFonts w:ascii="Times New Roman" w:hAnsi="Times New Roman"/>
                <w:sz w:val="24"/>
                <w:szCs w:val="24"/>
              </w:rPr>
            </w:pPr>
            <w:r>
              <w:rPr>
                <w:sz w:val="24"/>
                <w:szCs w:val="24"/>
              </w:rPr>
            </w:r>
          </w:p>
          <w:p>
            <w:pPr>
              <w:pStyle w:val="TextBody"/>
              <w:widowControl w:val="false"/>
              <w:ind w:left="0" w:right="0" w:hanging="0"/>
              <w:rPr>
                <w:rFonts w:ascii="Times New Roman" w:hAnsi="Times New Roman"/>
                <w:sz w:val="24"/>
                <w:szCs w:val="24"/>
              </w:rPr>
            </w:pPr>
            <w:r>
              <w:rPr/>
              <w:t>Потенциальный поставщик вправе указать другие расходы, в том числе:</w:t>
            </w:r>
          </w:p>
          <w:p>
            <w:pPr>
              <w:pStyle w:val="TextBody"/>
              <w:widowControl w:val="false"/>
              <w:ind w:left="0" w:right="0" w:hanging="0"/>
              <w:rPr>
                <w:rFonts w:ascii="Times New Roman" w:hAnsi="Times New Roman"/>
                <w:sz w:val="24"/>
                <w:szCs w:val="24"/>
              </w:rPr>
            </w:pPr>
            <w:r>
              <w:rPr/>
              <w:t>8.1.</w:t>
            </w:r>
          </w:p>
          <w:p>
            <w:pPr>
              <w:pStyle w:val="TextBody"/>
              <w:widowControl w:val="false"/>
              <w:spacing w:before="0" w:after="57"/>
              <w:ind w:left="0" w:right="0" w:hanging="0"/>
              <w:rPr>
                <w:rFonts w:ascii="Times New Roman" w:hAnsi="Times New Roman"/>
                <w:sz w:val="24"/>
                <w:szCs w:val="24"/>
              </w:rPr>
            </w:pPr>
            <w:r>
              <w:rPr/>
              <w:t>8.2.</w:t>
            </w:r>
          </w:p>
        </w:tc>
        <w:tc>
          <w:tcPr>
            <w:tcW w:w="2982" w:type="dxa"/>
            <w:tcBorders>
              <w:top w:val="single" w:sz="4" w:space="0" w:color="000000"/>
              <w:left w:val="single" w:sz="4" w:space="0" w:color="000000"/>
              <w:bottom w:val="single" w:sz="4" w:space="0" w:color="000000"/>
              <w:right w:val="single" w:sz="4" w:space="0" w:color="000000"/>
            </w:tcBorders>
            <w:shd w:color="auto" w:fill="auto" w:val="clear"/>
          </w:tcPr>
          <w:p>
            <w:pPr>
              <w:pStyle w:val="TextBody"/>
              <w:widowControl w:val="false"/>
              <w:spacing w:before="0" w:after="57"/>
              <w:ind w:left="0" w:right="0" w:hanging="0"/>
              <w:rPr>
                <w:rFonts w:ascii="Times New Roman" w:hAnsi="Times New Roman"/>
                <w:sz w:val="24"/>
                <w:szCs w:val="24"/>
              </w:rPr>
            </w:pPr>
            <w:r>
              <w:rPr>
                <w:sz w:val="24"/>
                <w:szCs w:val="24"/>
              </w:rPr>
            </w:r>
          </w:p>
        </w:tc>
      </w:tr>
      <w:tr>
        <w:trPr>
          <w:trHeight w:val="504" w:hRule="atLeast"/>
        </w:trPr>
        <w:tc>
          <w:tcPr>
            <w:tcW w:w="641" w:type="dxa"/>
            <w:tcBorders>
              <w:top w:val="single" w:sz="4" w:space="0" w:color="000000"/>
              <w:left w:val="single" w:sz="4" w:space="0" w:color="000000"/>
              <w:bottom w:val="single" w:sz="4" w:space="0" w:color="000000"/>
              <w:right w:val="single" w:sz="4" w:space="0" w:color="000000"/>
            </w:tcBorders>
            <w:shd w:color="auto" w:fill="auto" w:val="clear"/>
          </w:tcPr>
          <w:p>
            <w:pPr>
              <w:pStyle w:val="TextBody"/>
              <w:widowControl w:val="false"/>
              <w:spacing w:before="0" w:after="57"/>
              <w:ind w:left="0" w:right="0" w:hanging="0"/>
              <w:rPr>
                <w:rFonts w:ascii="Times New Roman" w:hAnsi="Times New Roman"/>
                <w:sz w:val="24"/>
                <w:szCs w:val="24"/>
              </w:rPr>
            </w:pPr>
            <w:r>
              <w:rPr/>
              <w:t>9.</w:t>
            </w:r>
          </w:p>
        </w:tc>
        <w:tc>
          <w:tcPr>
            <w:tcW w:w="5950" w:type="dxa"/>
            <w:tcBorders>
              <w:top w:val="single" w:sz="4" w:space="0" w:color="000000"/>
              <w:left w:val="single" w:sz="4" w:space="0" w:color="000000"/>
              <w:bottom w:val="single" w:sz="4" w:space="0" w:color="000000"/>
              <w:right w:val="single" w:sz="4" w:space="0" w:color="000000"/>
            </w:tcBorders>
            <w:shd w:color="auto" w:fill="auto" w:val="clear"/>
          </w:tcPr>
          <w:p>
            <w:pPr>
              <w:pStyle w:val="TextBody"/>
              <w:widowControl w:val="false"/>
              <w:spacing w:before="0" w:after="57"/>
              <w:ind w:left="0" w:right="0" w:hanging="0"/>
              <w:rPr>
                <w:rFonts w:ascii="Times New Roman" w:hAnsi="Times New Roman"/>
                <w:sz w:val="24"/>
                <w:szCs w:val="24"/>
              </w:rPr>
            </w:pPr>
            <w:r>
              <w:rPr/>
              <w:t>Размер скидки, в случае ее предоставления</w:t>
              <w:br/>
              <w:t>9.1.</w:t>
              <w:br/>
              <w:t>9.2.</w:t>
            </w:r>
          </w:p>
        </w:tc>
        <w:tc>
          <w:tcPr>
            <w:tcW w:w="2982" w:type="dxa"/>
            <w:tcBorders>
              <w:top w:val="single" w:sz="4" w:space="0" w:color="000000"/>
              <w:left w:val="single" w:sz="4" w:space="0" w:color="000000"/>
              <w:bottom w:val="single" w:sz="4" w:space="0" w:color="000000"/>
              <w:right w:val="single" w:sz="4" w:space="0" w:color="000000"/>
            </w:tcBorders>
            <w:shd w:color="auto" w:fill="auto" w:val="clear"/>
          </w:tcPr>
          <w:p>
            <w:pPr>
              <w:pStyle w:val="TextBody"/>
              <w:widowControl w:val="false"/>
              <w:spacing w:before="0" w:after="57"/>
              <w:ind w:left="0" w:right="0" w:hanging="0"/>
              <w:rPr>
                <w:rFonts w:ascii="Times New Roman" w:hAnsi="Times New Roman"/>
                <w:sz w:val="24"/>
                <w:szCs w:val="24"/>
              </w:rPr>
            </w:pPr>
            <w:r>
              <w:rPr>
                <w:sz w:val="24"/>
                <w:szCs w:val="24"/>
              </w:rPr>
            </w:r>
          </w:p>
        </w:tc>
      </w:tr>
    </w:tbl>
    <w:p>
      <w:pPr>
        <w:pStyle w:val="NormalWeb"/>
        <w:shd w:val="clear" w:color="auto" w:fill="FFFFFF"/>
        <w:spacing w:beforeAutospacing="0" w:before="0" w:afterAutospacing="0" w:after="0"/>
        <w:ind w:left="0" w:right="0" w:firstLine="709"/>
        <w:jc w:val="both"/>
        <w:textAlignment w:val="baseline"/>
        <w:rPr>
          <w:rFonts w:ascii="Times New Roman" w:hAnsi="Times New Roman"/>
          <w:spacing w:val="2"/>
          <w:sz w:val="24"/>
          <w:szCs w:val="24"/>
        </w:rPr>
      </w:pPr>
      <w:r>
        <w:rPr>
          <w:spacing w:val="2"/>
          <w:sz w:val="24"/>
          <w:szCs w:val="24"/>
        </w:rPr>
      </w:r>
    </w:p>
    <w:p>
      <w:pPr>
        <w:pStyle w:val="NormalWeb"/>
        <w:shd w:val="clear" w:color="auto" w:fill="FFFFFF"/>
        <w:spacing w:beforeAutospacing="0" w:before="0" w:afterAutospacing="0" w:after="0"/>
        <w:ind w:left="0" w:right="0" w:firstLine="709"/>
        <w:textAlignment w:val="baseline"/>
        <w:rPr>
          <w:rFonts w:ascii="Times New Roman" w:hAnsi="Times New Roman"/>
          <w:sz w:val="24"/>
          <w:szCs w:val="24"/>
        </w:rPr>
      </w:pPr>
      <w:r>
        <w:rPr>
          <w:spacing w:val="2"/>
          <w:sz w:val="24"/>
          <w:szCs w:val="24"/>
        </w:rPr>
        <w:t>______________                       __________________________________</w:t>
        <w:br/>
        <w:t xml:space="preserve">           Подпись, дата                     должность, фамилия, имя, отчество</w:t>
      </w:r>
    </w:p>
    <w:p>
      <w:pPr>
        <w:pStyle w:val="NormalWeb"/>
        <w:shd w:val="clear" w:color="auto" w:fill="FFFFFF"/>
        <w:spacing w:beforeAutospacing="0" w:before="0" w:afterAutospacing="0" w:after="0"/>
        <w:ind w:left="0" w:right="0" w:firstLine="709"/>
        <w:textAlignment w:val="baseline"/>
        <w:rPr>
          <w:rFonts w:ascii="Times New Roman" w:hAnsi="Times New Roman"/>
          <w:sz w:val="24"/>
          <w:szCs w:val="24"/>
        </w:rPr>
      </w:pPr>
      <w:r>
        <w:rPr>
          <w:spacing w:val="2"/>
          <w:sz w:val="24"/>
          <w:szCs w:val="24"/>
        </w:rPr>
        <w:tab/>
        <w:tab/>
        <w:tab/>
        <w:tab/>
        <w:tab/>
        <w:tab/>
        <w:t>(при его наличии)</w:t>
      </w:r>
    </w:p>
    <w:p>
      <w:pPr>
        <w:pStyle w:val="NormalWeb"/>
        <w:shd w:val="clear" w:color="auto" w:fill="FFFFFF"/>
        <w:spacing w:beforeAutospacing="0" w:before="0" w:afterAutospacing="0" w:after="0"/>
        <w:ind w:left="0" w:right="0" w:firstLine="709"/>
        <w:textAlignment w:val="baseline"/>
        <w:rPr>
          <w:rFonts w:ascii="Times New Roman" w:hAnsi="Times New Roman"/>
          <w:spacing w:val="2"/>
          <w:sz w:val="24"/>
          <w:szCs w:val="24"/>
        </w:rPr>
      </w:pPr>
      <w:r>
        <w:rPr>
          <w:spacing w:val="2"/>
          <w:sz w:val="24"/>
          <w:szCs w:val="24"/>
        </w:rPr>
      </w:r>
    </w:p>
    <w:p>
      <w:pPr>
        <w:pStyle w:val="NormalWeb"/>
        <w:shd w:val="clear" w:color="auto" w:fill="FFFFFF"/>
        <w:spacing w:beforeAutospacing="0" w:before="0" w:afterAutospacing="0" w:after="0"/>
        <w:ind w:left="0" w:right="0" w:firstLine="709"/>
        <w:textAlignment w:val="baseline"/>
        <w:rPr>
          <w:rFonts w:ascii="Times New Roman" w:hAnsi="Times New Roman"/>
          <w:sz w:val="24"/>
          <w:szCs w:val="24"/>
        </w:rPr>
      </w:pPr>
      <w:r>
        <w:rPr>
          <w:spacing w:val="2"/>
          <w:sz w:val="24"/>
          <w:szCs w:val="24"/>
        </w:rPr>
        <w:t>Печать(при наличии)</w:t>
      </w:r>
      <w:r>
        <w:br w:type="page"/>
      </w:r>
    </w:p>
    <w:p>
      <w:pPr>
        <w:pStyle w:val="NormalWeb"/>
        <w:shd w:val="clear" w:color="auto" w:fill="FFFFFF"/>
        <w:spacing w:beforeAutospacing="0" w:before="0" w:afterAutospacing="0" w:after="0"/>
        <w:ind w:left="0" w:right="0" w:firstLine="709"/>
        <w:jc w:val="right"/>
        <w:textAlignment w:val="baseline"/>
        <w:rPr>
          <w:i w:val="false"/>
          <w:i w:val="false"/>
          <w:iCs w:val="false"/>
        </w:rPr>
      </w:pPr>
      <w:r>
        <w:rPr>
          <w:i w:val="false"/>
          <w:iCs w:val="false"/>
          <w:sz w:val="24"/>
          <w:szCs w:val="24"/>
        </w:rPr>
        <w:t>Приложение №7</w:t>
      </w:r>
    </w:p>
    <w:p>
      <w:pPr>
        <w:pStyle w:val="Normal"/>
        <w:ind w:left="0" w:right="0" w:firstLine="425"/>
        <w:jc w:val="right"/>
        <w:textAlignment w:val="baseline"/>
        <w:rPr>
          <w:i w:val="false"/>
          <w:i w:val="false"/>
          <w:iCs w:val="false"/>
        </w:rPr>
      </w:pPr>
      <w:r>
        <w:rPr>
          <w:rStyle w:val="S2"/>
          <w:i w:val="false"/>
          <w:iCs w:val="false"/>
          <w:color w:val="000000"/>
          <w:sz w:val="24"/>
          <w:szCs w:val="24"/>
          <w:u w:val="none"/>
        </w:rPr>
        <w:t xml:space="preserve">к тендерной документации </w:t>
        <w:br/>
        <w:t xml:space="preserve">для тендера </w:t>
      </w:r>
      <w:r>
        <w:rPr>
          <w:rStyle w:val="S2"/>
          <w:b/>
          <w:bCs/>
          <w:i w:val="false"/>
          <w:iCs w:val="false"/>
          <w:color w:val="000000"/>
          <w:sz w:val="24"/>
          <w:szCs w:val="24"/>
          <w:u w:val="none"/>
          <w:lang w:val="kk-KZ"/>
        </w:rPr>
        <w:t>№2 «</w:t>
      </w:r>
      <w:r>
        <w:rPr>
          <w:rStyle w:val="S2"/>
          <w:rFonts w:eastAsia="Noto Serif CJK SC" w:cs="Lohit Devanagari"/>
          <w:b/>
          <w:bCs/>
          <w:i w:val="false"/>
          <w:iCs w:val="false"/>
          <w:color w:val="auto"/>
          <w:kern w:val="2"/>
          <w:sz w:val="24"/>
          <w:szCs w:val="24"/>
          <w:u w:val="none"/>
          <w:lang w:val="kk-KZ" w:eastAsia="zh-CN" w:bidi="hi-IN"/>
        </w:rPr>
        <w:t>Медицинское оборудование для родильного отделения</w:t>
      </w:r>
      <w:r>
        <w:rPr>
          <w:rStyle w:val="S2"/>
          <w:b/>
          <w:bCs/>
          <w:i w:val="false"/>
          <w:iCs w:val="false"/>
          <w:color w:val="000000"/>
          <w:sz w:val="24"/>
          <w:szCs w:val="24"/>
          <w:u w:val="none"/>
          <w:lang w:val="kk-KZ"/>
        </w:rPr>
        <w:t>»</w:t>
      </w:r>
    </w:p>
    <w:p>
      <w:pPr>
        <w:pStyle w:val="J16"/>
        <w:shd w:val="clear" w:color="auto" w:fill="FFFFFF"/>
        <w:spacing w:beforeAutospacing="0" w:before="0" w:afterAutospacing="0" w:after="0"/>
        <w:jc w:val="center"/>
        <w:textAlignment w:val="baseline"/>
        <w:rPr>
          <w:rFonts w:ascii="Times New Roman" w:hAnsi="Times New Roman"/>
          <w:sz w:val="24"/>
          <w:szCs w:val="24"/>
        </w:rPr>
      </w:pPr>
      <w:r>
        <w:rPr>
          <w:sz w:val="24"/>
          <w:szCs w:val="24"/>
        </w:rPr>
      </w:r>
    </w:p>
    <w:p>
      <w:pPr>
        <w:pStyle w:val="J13"/>
        <w:shd w:val="clear" w:color="auto" w:fill="FFFFFF"/>
        <w:spacing w:beforeAutospacing="0" w:before="0" w:afterAutospacing="0" w:after="0"/>
        <w:ind w:left="0" w:right="0" w:firstLine="403"/>
        <w:textAlignment w:val="baseline"/>
        <w:rPr>
          <w:rFonts w:ascii="Times New Roman" w:hAnsi="Times New Roman"/>
          <w:sz w:val="24"/>
          <w:szCs w:val="24"/>
        </w:rPr>
      </w:pPr>
      <w:r>
        <w:rPr>
          <w:sz w:val="24"/>
          <w:szCs w:val="24"/>
        </w:rPr>
      </w:r>
    </w:p>
    <w:p>
      <w:pPr>
        <w:pStyle w:val="Heading3"/>
        <w:shd w:val="clear" w:color="auto" w:fill="FFFFFF"/>
        <w:spacing w:beforeAutospacing="0" w:before="0" w:afterAutospacing="0" w:after="0"/>
        <w:ind w:left="0" w:right="0" w:firstLine="709"/>
        <w:jc w:val="center"/>
        <w:textAlignment w:val="baseline"/>
        <w:rPr>
          <w:rFonts w:ascii="Times New Roman" w:hAnsi="Times New Roman"/>
          <w:sz w:val="24"/>
          <w:szCs w:val="24"/>
        </w:rPr>
      </w:pPr>
      <w:bookmarkStart w:id="121" w:name="__RefHeading___Toc1875_2535700000"/>
      <w:bookmarkEnd w:id="121"/>
      <w:r>
        <w:rPr>
          <w:bCs w:val="false"/>
          <w:sz w:val="24"/>
          <w:szCs w:val="24"/>
        </w:rPr>
        <w:t>Банковская гарантия</w:t>
      </w:r>
    </w:p>
    <w:p>
      <w:pPr>
        <w:pStyle w:val="NormalWeb"/>
        <w:shd w:val="clear" w:color="auto" w:fill="FFFFFF"/>
        <w:spacing w:beforeAutospacing="0" w:before="0" w:afterAutospacing="0" w:after="0"/>
        <w:ind w:left="0" w:right="0" w:firstLine="709"/>
        <w:textAlignment w:val="baseline"/>
        <w:rPr>
          <w:rFonts w:ascii="Times New Roman" w:hAnsi="Times New Roman"/>
          <w:spacing w:val="2"/>
          <w:sz w:val="24"/>
          <w:szCs w:val="24"/>
        </w:rPr>
      </w:pPr>
      <w:r>
        <w:rPr>
          <w:spacing w:val="2"/>
          <w:sz w:val="24"/>
          <w:szCs w:val="24"/>
        </w:rPr>
      </w:r>
    </w:p>
    <w:p>
      <w:pPr>
        <w:pStyle w:val="TextBody"/>
        <w:rPr>
          <w:rFonts w:ascii="Times New Roman" w:hAnsi="Times New Roman"/>
          <w:sz w:val="24"/>
          <w:szCs w:val="24"/>
        </w:rPr>
      </w:pPr>
      <w:r>
        <w:rPr/>
        <w:t>Наименование банка _________________________________________________</w:t>
      </w:r>
    </w:p>
    <w:p>
      <w:pPr>
        <w:pStyle w:val="TextBody"/>
        <w:rPr>
          <w:rFonts w:ascii="Times New Roman" w:hAnsi="Times New Roman"/>
          <w:sz w:val="24"/>
          <w:szCs w:val="24"/>
        </w:rPr>
      </w:pPr>
      <w:r>
        <w:rPr/>
        <w:t>(наименование и реквизиты банка)</w:t>
      </w:r>
    </w:p>
    <w:p>
      <w:pPr>
        <w:pStyle w:val="TextBody"/>
        <w:rPr>
          <w:rFonts w:ascii="Times New Roman" w:hAnsi="Times New Roman"/>
          <w:sz w:val="24"/>
          <w:szCs w:val="24"/>
        </w:rPr>
      </w:pPr>
      <w:r>
        <w:rPr/>
        <w:t>Кому ______________________________________________________________</w:t>
      </w:r>
    </w:p>
    <w:p>
      <w:pPr>
        <w:pStyle w:val="TextBody"/>
        <w:rPr>
          <w:rFonts w:ascii="Times New Roman" w:hAnsi="Times New Roman"/>
          <w:sz w:val="24"/>
          <w:szCs w:val="24"/>
        </w:rPr>
      </w:pPr>
      <w:r>
        <w:rPr/>
        <w:t>(наименование и реквизиты заказчика, организатора закупа)</w:t>
      </w:r>
    </w:p>
    <w:p>
      <w:pPr>
        <w:pStyle w:val="TextBody"/>
        <w:rPr>
          <w:rFonts w:ascii="Times New Roman" w:hAnsi="Times New Roman"/>
          <w:sz w:val="24"/>
          <w:szCs w:val="24"/>
        </w:rPr>
      </w:pPr>
      <w:bookmarkStart w:id="122" w:name="__RefHeading___Toc1877_2535700000"/>
      <w:bookmarkEnd w:id="122"/>
      <w:r>
        <w:rPr/>
        <w:t>Гарантийное обязательство № ____</w:t>
      </w:r>
    </w:p>
    <w:p>
      <w:pPr>
        <w:pStyle w:val="TextBody"/>
        <w:rPr>
          <w:rFonts w:ascii="Times New Roman" w:hAnsi="Times New Roman"/>
          <w:sz w:val="24"/>
          <w:szCs w:val="24"/>
        </w:rPr>
      </w:pPr>
      <w:r>
        <w:rPr/>
        <w:t>__________________                                                 «____» ___________ _____ г.</w:t>
      </w:r>
    </w:p>
    <w:p>
      <w:pPr>
        <w:pStyle w:val="TextBody"/>
        <w:rPr>
          <w:rFonts w:ascii="Times New Roman" w:hAnsi="Times New Roman"/>
          <w:sz w:val="24"/>
          <w:szCs w:val="24"/>
        </w:rPr>
      </w:pPr>
      <w:r>
        <w:rPr/>
        <w:t xml:space="preserve">  </w:t>
      </w:r>
      <w:r>
        <w:rPr/>
        <w:t>(местонахождение)</w:t>
      </w:r>
    </w:p>
    <w:p>
      <w:pPr>
        <w:pStyle w:val="TextBody"/>
        <w:rPr>
          <w:rFonts w:ascii="Times New Roman" w:hAnsi="Times New Roman"/>
          <w:sz w:val="24"/>
          <w:szCs w:val="24"/>
        </w:rPr>
      </w:pPr>
      <w:r>
        <w:rPr/>
        <w:t>Мы были проинформированы,</w:t>
      </w:r>
    </w:p>
    <w:p>
      <w:pPr>
        <w:pStyle w:val="TextBody"/>
        <w:rPr>
          <w:rFonts w:ascii="Times New Roman" w:hAnsi="Times New Roman"/>
          <w:sz w:val="24"/>
          <w:szCs w:val="24"/>
        </w:rPr>
      </w:pPr>
      <w:r>
        <w:rPr/>
        <w:t>что _______________________________________________________________</w:t>
      </w:r>
    </w:p>
    <w:p>
      <w:pPr>
        <w:pStyle w:val="TextBody"/>
        <w:rPr>
          <w:rFonts w:ascii="Times New Roman" w:hAnsi="Times New Roman"/>
          <w:sz w:val="24"/>
          <w:szCs w:val="24"/>
        </w:rPr>
      </w:pPr>
      <w:r>
        <w:rPr/>
        <w:t>(наименование потенциального поставщика)</w:t>
      </w:r>
    </w:p>
    <w:p>
      <w:pPr>
        <w:pStyle w:val="TextBody"/>
        <w:rPr>
          <w:rFonts w:ascii="Times New Roman" w:hAnsi="Times New Roman"/>
          <w:sz w:val="24"/>
          <w:szCs w:val="24"/>
        </w:rPr>
      </w:pPr>
      <w:r>
        <w:rPr/>
        <w:t>в дальнейшем «Поставщик», принимает участие в тендере по закупке ___________________________________________________________________, организованном ____________________________________________________</w:t>
      </w:r>
    </w:p>
    <w:p>
      <w:pPr>
        <w:pStyle w:val="TextBody"/>
        <w:rPr>
          <w:rFonts w:ascii="Times New Roman" w:hAnsi="Times New Roman"/>
          <w:sz w:val="24"/>
          <w:szCs w:val="24"/>
        </w:rPr>
      </w:pPr>
      <w:r>
        <w:rPr/>
        <w:t>(наименование заказчика, организатора закупа)</w:t>
      </w:r>
    </w:p>
    <w:p>
      <w:pPr>
        <w:pStyle w:val="TextBody"/>
        <w:rPr>
          <w:rFonts w:ascii="Times New Roman" w:hAnsi="Times New Roman"/>
          <w:sz w:val="24"/>
          <w:szCs w:val="24"/>
        </w:rPr>
      </w:pPr>
      <w:r>
        <w:rPr/>
        <w:t>и готов осуществить поставку (оказать услугу)________________________ на общую сумму ________________ тенге.</w:t>
      </w:r>
    </w:p>
    <w:p>
      <w:pPr>
        <w:pStyle w:val="TextBody"/>
        <w:rPr>
          <w:rFonts w:ascii="Times New Roman" w:hAnsi="Times New Roman"/>
          <w:sz w:val="24"/>
          <w:szCs w:val="24"/>
        </w:rPr>
      </w:pPr>
      <w:r>
        <w:rPr/>
        <w:t>(наименование и объем товаров, работ и услуг) (прописью)</w:t>
      </w:r>
    </w:p>
    <w:p>
      <w:pPr>
        <w:pStyle w:val="TextBody"/>
        <w:rPr>
          <w:rFonts w:ascii="Times New Roman" w:hAnsi="Times New Roman"/>
          <w:spacing w:val="2"/>
          <w:sz w:val="24"/>
          <w:szCs w:val="24"/>
        </w:rPr>
      </w:pPr>
      <w:r>
        <w:rPr>
          <w:spacing w:val="2"/>
          <w:sz w:val="24"/>
          <w:szCs w:val="24"/>
        </w:rPr>
      </w:r>
    </w:p>
    <w:p>
      <w:pPr>
        <w:pStyle w:val="TextBody"/>
        <w:rPr>
          <w:rFonts w:ascii="Times New Roman" w:hAnsi="Times New Roman"/>
          <w:sz w:val="24"/>
          <w:szCs w:val="24"/>
        </w:rPr>
      </w:pPr>
      <w:r>
        <w:rPr/>
        <w:t>Тендерной документацией от «___» _________ _______ г. по проведению вышеназванных закупок предусмотрено внесение потенциальными поставщиками обеспечения тендерной заявки в виде банковской гарантии.</w:t>
      </w:r>
    </w:p>
    <w:p>
      <w:pPr>
        <w:pStyle w:val="TextBody"/>
        <w:rPr>
          <w:rFonts w:ascii="Times New Roman" w:hAnsi="Times New Roman"/>
          <w:sz w:val="24"/>
          <w:szCs w:val="24"/>
        </w:rPr>
      </w:pPr>
      <w:r>
        <w:rPr/>
        <w:t>В связи с этим, мы ________________________ настоящим берем на себя</w:t>
      </w:r>
    </w:p>
    <w:p>
      <w:pPr>
        <w:pStyle w:val="TextBody"/>
        <w:rPr>
          <w:rFonts w:ascii="Times New Roman" w:hAnsi="Times New Roman"/>
          <w:sz w:val="24"/>
          <w:szCs w:val="24"/>
        </w:rPr>
      </w:pPr>
      <w:r>
        <w:rPr/>
        <w:t>(наименование банка)</w:t>
      </w:r>
    </w:p>
    <w:p>
      <w:pPr>
        <w:pStyle w:val="TextBody"/>
        <w:rPr>
          <w:rFonts w:ascii="Times New Roman" w:hAnsi="Times New Roman"/>
          <w:sz w:val="24"/>
          <w:szCs w:val="24"/>
        </w:rPr>
      </w:pPr>
      <w:r>
        <w:rPr/>
        <w:t>безотзывное обязательство выплатить Вам по Вашему требованию сумму,</w:t>
        <w:br/>
        <w:t>равную ____________________________________________________________</w:t>
      </w:r>
    </w:p>
    <w:p>
      <w:pPr>
        <w:pStyle w:val="TextBody"/>
        <w:rPr>
          <w:rFonts w:ascii="Times New Roman" w:hAnsi="Times New Roman"/>
          <w:sz w:val="24"/>
          <w:szCs w:val="24"/>
        </w:rPr>
      </w:pPr>
      <w:r>
        <w:rPr/>
        <w:t>(сумма в цифрах и прописью)</w:t>
      </w:r>
    </w:p>
    <w:p>
      <w:pPr>
        <w:pStyle w:val="TextBody"/>
        <w:rPr>
          <w:rFonts w:ascii="Times New Roman" w:hAnsi="Times New Roman"/>
          <w:sz w:val="24"/>
          <w:szCs w:val="24"/>
        </w:rPr>
      </w:pPr>
      <w:r>
        <w:rPr/>
        <w:t>по получении Вашего письменного требования на оплату, а также письменного подтверждения того, что Поставщик:</w:t>
      </w:r>
    </w:p>
    <w:p>
      <w:pPr>
        <w:pStyle w:val="TextBody"/>
        <w:rPr>
          <w:rFonts w:ascii="Times New Roman" w:hAnsi="Times New Roman"/>
          <w:sz w:val="24"/>
          <w:szCs w:val="24"/>
        </w:rPr>
      </w:pPr>
      <w:r>
        <w:rPr/>
        <w:t>1)</w:t>
        <w:tab/>
        <w:t>отозвал или изменил тендерную заявку после истечения окончательного срока приема тендерных заявок;</w:t>
      </w:r>
    </w:p>
    <w:p>
      <w:pPr>
        <w:pStyle w:val="TextBody"/>
        <w:rPr>
          <w:rFonts w:ascii="Times New Roman" w:hAnsi="Times New Roman"/>
          <w:sz w:val="24"/>
          <w:szCs w:val="24"/>
        </w:rPr>
      </w:pPr>
      <w:r>
        <w:rPr/>
        <w:t>2)</w:t>
        <w:tab/>
        <w:t>победитель уклонился от заключения договора закупа после признания победителем тендера;</w:t>
      </w:r>
    </w:p>
    <w:p>
      <w:pPr>
        <w:pStyle w:val="TextBody"/>
        <w:rPr>
          <w:rFonts w:ascii="Times New Roman" w:hAnsi="Times New Roman"/>
          <w:sz w:val="24"/>
          <w:szCs w:val="24"/>
        </w:rPr>
      </w:pPr>
      <w:r>
        <w:rPr>
          <w:spacing w:val="2"/>
          <w:sz w:val="24"/>
          <w:szCs w:val="24"/>
        </w:rPr>
        <w:t>3)</w:t>
        <w:tab/>
        <w:t>победитель не внес либо несвоевременно внес гарантийное обеспечение договора закупа</w:t>
      </w:r>
      <w:r>
        <w:rPr>
          <w:spacing w:val="2"/>
          <w:sz w:val="24"/>
          <w:szCs w:val="24"/>
          <w:lang w:val="kk-KZ"/>
        </w:rPr>
        <w:t xml:space="preserve"> или договора на оказание фармацевтических услуг</w:t>
      </w:r>
      <w:r>
        <w:rPr>
          <w:spacing w:val="2"/>
          <w:sz w:val="24"/>
          <w:szCs w:val="24"/>
        </w:rPr>
        <w:t>.</w:t>
      </w:r>
    </w:p>
    <w:p>
      <w:pPr>
        <w:pStyle w:val="TextBody"/>
        <w:rPr>
          <w:rFonts w:ascii="Times New Roman" w:hAnsi="Times New Roman"/>
          <w:sz w:val="24"/>
          <w:szCs w:val="24"/>
        </w:rPr>
      </w:pPr>
      <w:r>
        <w:rPr/>
        <w:t>Данная гарантия вступает в силу со дня вскрытия конвертов с тендерными заявками.</w:t>
      </w:r>
    </w:p>
    <w:p>
      <w:pPr>
        <w:pStyle w:val="TextBody"/>
        <w:rPr>
          <w:rFonts w:ascii="Times New Roman" w:hAnsi="Times New Roman"/>
          <w:sz w:val="24"/>
          <w:szCs w:val="24"/>
        </w:rPr>
      </w:pPr>
      <w:r>
        <w:rPr/>
        <w:t>Данная гарантия действует до окончательного срока действия тендерной заявки Поставщика на участие в тендере. Если срок действия тендерной заявки продлен, то данное гарантийное обязательство продлевается на такой же срок.</w:t>
      </w:r>
    </w:p>
    <w:p>
      <w:pPr>
        <w:pStyle w:val="TextBody"/>
        <w:rPr>
          <w:rFonts w:ascii="Times New Roman" w:hAnsi="Times New Roman"/>
          <w:spacing w:val="2"/>
          <w:sz w:val="24"/>
          <w:szCs w:val="24"/>
        </w:rPr>
      </w:pPr>
      <w:r>
        <w:rPr>
          <w:spacing w:val="2"/>
          <w:sz w:val="24"/>
          <w:szCs w:val="24"/>
        </w:rPr>
      </w:r>
    </w:p>
    <w:p>
      <w:pPr>
        <w:pStyle w:val="TextBody"/>
        <w:rPr>
          <w:rFonts w:ascii="Times New Roman" w:hAnsi="Times New Roman"/>
          <w:spacing w:val="2"/>
          <w:sz w:val="24"/>
          <w:szCs w:val="24"/>
        </w:rPr>
      </w:pPr>
      <w:r>
        <w:rPr>
          <w:spacing w:val="2"/>
          <w:sz w:val="24"/>
          <w:szCs w:val="24"/>
        </w:rPr>
      </w:r>
    </w:p>
    <w:p>
      <w:pPr>
        <w:pStyle w:val="TextBody"/>
        <w:rPr>
          <w:rFonts w:ascii="Times New Roman" w:hAnsi="Times New Roman"/>
          <w:sz w:val="24"/>
          <w:szCs w:val="24"/>
        </w:rPr>
      </w:pPr>
      <w:r>
        <w:rPr/>
        <w:t>Подпись гаранта                                                               Дата и адрес</w:t>
      </w:r>
    </w:p>
    <w:p>
      <w:pPr>
        <w:pStyle w:val="TextBody"/>
        <w:rPr>
          <w:rFonts w:ascii="Times New Roman" w:hAnsi="Times New Roman"/>
          <w:bCs/>
          <w:spacing w:val="2"/>
          <w:sz w:val="24"/>
          <w:szCs w:val="24"/>
        </w:rPr>
      </w:pPr>
      <w:r>
        <w:rPr>
          <w:bCs/>
          <w:spacing w:val="2"/>
          <w:sz w:val="24"/>
          <w:szCs w:val="24"/>
        </w:rPr>
      </w:r>
    </w:p>
    <w:p>
      <w:pPr>
        <w:pStyle w:val="TextBody"/>
        <w:rPr>
          <w:rFonts w:ascii="Times New Roman" w:hAnsi="Times New Roman"/>
          <w:sz w:val="24"/>
          <w:szCs w:val="24"/>
        </w:rPr>
      </w:pPr>
      <w:r>
        <w:rPr/>
        <w:t>Печать</w:t>
      </w:r>
    </w:p>
    <w:p>
      <w:pPr>
        <w:pStyle w:val="TextBody"/>
        <w:rPr>
          <w:rFonts w:ascii="Times New Roman" w:hAnsi="Times New Roman"/>
          <w:sz w:val="24"/>
          <w:szCs w:val="24"/>
        </w:rPr>
      </w:pPr>
      <w:r>
        <w:rPr>
          <w:bCs/>
          <w:spacing w:val="2"/>
          <w:sz w:val="24"/>
          <w:szCs w:val="24"/>
        </w:rPr>
        <w:t>(при наличии)</w:t>
      </w:r>
      <w:r>
        <w:rPr>
          <w:spacing w:val="2"/>
          <w:sz w:val="24"/>
          <w:szCs w:val="24"/>
        </w:rPr>
        <w:t>________________________</w:t>
      </w:r>
      <w:r>
        <w:br w:type="page"/>
      </w:r>
    </w:p>
    <w:p>
      <w:pPr>
        <w:pStyle w:val="NormalWeb"/>
        <w:shd w:val="clear" w:color="auto" w:fill="FFFFFF"/>
        <w:spacing w:beforeAutospacing="0" w:before="0" w:afterAutospacing="0" w:after="0"/>
        <w:ind w:left="0" w:right="0" w:firstLine="709"/>
        <w:textAlignment w:val="baseline"/>
        <w:rPr>
          <w:rFonts w:ascii="Times New Roman" w:hAnsi="Times New Roman"/>
          <w:sz w:val="24"/>
          <w:szCs w:val="24"/>
        </w:rPr>
      </w:pPr>
      <w:r>
        <w:rPr>
          <w:sz w:val="24"/>
          <w:szCs w:val="24"/>
        </w:rPr>
      </w:r>
    </w:p>
    <w:p>
      <w:pPr>
        <w:pStyle w:val="J16"/>
        <w:shd w:val="clear" w:color="auto" w:fill="FFFFFF"/>
        <w:spacing w:beforeAutospacing="0" w:before="0" w:afterAutospacing="0" w:after="0"/>
        <w:jc w:val="right"/>
        <w:textAlignment w:val="baseline"/>
        <w:rPr>
          <w:i w:val="false"/>
          <w:i w:val="false"/>
          <w:iCs w:val="false"/>
        </w:rPr>
      </w:pPr>
      <w:r>
        <w:rPr>
          <w:i w:val="false"/>
          <w:iCs w:val="false"/>
          <w:sz w:val="24"/>
          <w:szCs w:val="24"/>
        </w:rPr>
        <w:t>Приложение №8</w:t>
      </w:r>
    </w:p>
    <w:p>
      <w:pPr>
        <w:pStyle w:val="Normal"/>
        <w:ind w:left="0" w:right="0" w:firstLine="425"/>
        <w:jc w:val="right"/>
        <w:textAlignment w:val="baseline"/>
        <w:rPr>
          <w:i w:val="false"/>
          <w:i w:val="false"/>
          <w:iCs w:val="false"/>
        </w:rPr>
      </w:pPr>
      <w:r>
        <w:rPr>
          <w:rStyle w:val="S2"/>
          <w:i w:val="false"/>
          <w:iCs w:val="false"/>
          <w:color w:val="000000"/>
          <w:sz w:val="24"/>
          <w:szCs w:val="24"/>
          <w:u w:val="none"/>
        </w:rPr>
        <w:t xml:space="preserve">к тендерной документации </w:t>
        <w:br/>
        <w:t xml:space="preserve">для тендера </w:t>
      </w:r>
      <w:r>
        <w:rPr>
          <w:rStyle w:val="S2"/>
          <w:b/>
          <w:bCs/>
          <w:i w:val="false"/>
          <w:iCs w:val="false"/>
          <w:color w:val="000000"/>
          <w:sz w:val="24"/>
          <w:szCs w:val="24"/>
          <w:u w:val="none"/>
          <w:lang w:val="kk-KZ"/>
        </w:rPr>
        <w:t xml:space="preserve"> №2 «</w:t>
      </w:r>
      <w:r>
        <w:rPr>
          <w:rStyle w:val="S2"/>
          <w:rFonts w:eastAsia="Noto Serif CJK SC" w:cs="Lohit Devanagari"/>
          <w:b/>
          <w:bCs/>
          <w:i w:val="false"/>
          <w:iCs w:val="false"/>
          <w:color w:val="auto"/>
          <w:kern w:val="2"/>
          <w:sz w:val="24"/>
          <w:szCs w:val="24"/>
          <w:u w:val="none"/>
          <w:lang w:val="kk-KZ" w:eastAsia="zh-CN" w:bidi="hi-IN"/>
        </w:rPr>
        <w:t>Медицинское оборудование для родильного отделения</w:t>
      </w:r>
      <w:r>
        <w:rPr>
          <w:rStyle w:val="S2"/>
          <w:b/>
          <w:bCs/>
          <w:i w:val="false"/>
          <w:iCs w:val="false"/>
          <w:color w:val="000000"/>
          <w:sz w:val="24"/>
          <w:szCs w:val="24"/>
          <w:u w:val="none"/>
          <w:lang w:val="kk-KZ"/>
        </w:rPr>
        <w:t>»</w:t>
      </w:r>
    </w:p>
    <w:p>
      <w:pPr>
        <w:pStyle w:val="Heading3"/>
        <w:spacing w:before="280" w:after="280"/>
        <w:rPr>
          <w:rFonts w:ascii="Times New Roman" w:hAnsi="Times New Roman"/>
          <w:sz w:val="24"/>
          <w:szCs w:val="24"/>
        </w:rPr>
      </w:pPr>
      <w:bookmarkStart w:id="123" w:name="__RefHeading___Toc3436_223126817"/>
      <w:bookmarkEnd w:id="123"/>
      <w:r>
        <w:rPr/>
        <w:t>Банковская гарантия</w:t>
        <w:br/>
        <w:t>(</w:t>
      </w:r>
      <w:r>
        <w:rPr>
          <w:lang w:val="kk-KZ"/>
        </w:rPr>
        <w:t>вид</w:t>
      </w:r>
      <w:r>
        <w:rPr/>
        <w:t xml:space="preserve"> обеспечения исполнения договора поставки)</w:t>
      </w:r>
    </w:p>
    <w:p>
      <w:pPr>
        <w:pStyle w:val="NormalWeb"/>
        <w:shd w:val="clear" w:color="auto" w:fill="FFFFFF"/>
        <w:spacing w:beforeAutospacing="0" w:before="0" w:afterAutospacing="0" w:after="0"/>
        <w:textAlignment w:val="baseline"/>
        <w:rPr>
          <w:rFonts w:ascii="Times New Roman" w:hAnsi="Times New Roman"/>
          <w:sz w:val="24"/>
          <w:szCs w:val="24"/>
        </w:rPr>
      </w:pPr>
      <w:r>
        <w:rPr>
          <w:spacing w:val="2"/>
          <w:sz w:val="24"/>
          <w:szCs w:val="24"/>
        </w:rPr>
        <w:t>Наименование банка:________________________________________________</w:t>
      </w:r>
    </w:p>
    <w:p>
      <w:pPr>
        <w:pStyle w:val="NormalWeb"/>
        <w:shd w:val="clear" w:color="auto" w:fill="FFFFFF"/>
        <w:spacing w:beforeAutospacing="0" w:before="0" w:afterAutospacing="0" w:after="0"/>
        <w:jc w:val="center"/>
        <w:textAlignment w:val="baseline"/>
        <w:rPr>
          <w:rFonts w:ascii="Times New Roman" w:hAnsi="Times New Roman"/>
          <w:sz w:val="24"/>
          <w:szCs w:val="24"/>
        </w:rPr>
      </w:pPr>
      <w:r>
        <w:rPr>
          <w:spacing w:val="2"/>
          <w:sz w:val="24"/>
          <w:szCs w:val="24"/>
        </w:rPr>
        <w:t>(наименование и реквизиты банка)</w:t>
      </w:r>
    </w:p>
    <w:p>
      <w:pPr>
        <w:pStyle w:val="NormalWeb"/>
        <w:shd w:val="clear" w:color="auto" w:fill="FFFFFF"/>
        <w:spacing w:beforeAutospacing="0" w:before="0" w:afterAutospacing="0" w:after="0"/>
        <w:textAlignment w:val="baseline"/>
        <w:rPr>
          <w:rFonts w:ascii="Times New Roman" w:hAnsi="Times New Roman"/>
          <w:sz w:val="24"/>
          <w:szCs w:val="24"/>
        </w:rPr>
      </w:pPr>
      <w:r>
        <w:rPr>
          <w:spacing w:val="2"/>
          <w:sz w:val="24"/>
          <w:szCs w:val="24"/>
        </w:rPr>
        <w:t>Кому: ____________________________________________________________</w:t>
      </w:r>
    </w:p>
    <w:p>
      <w:pPr>
        <w:pStyle w:val="NormalWeb"/>
        <w:shd w:val="clear" w:color="auto" w:fill="FFFFFF"/>
        <w:spacing w:beforeAutospacing="0" w:before="0" w:afterAutospacing="0" w:after="0"/>
        <w:jc w:val="center"/>
        <w:textAlignment w:val="baseline"/>
        <w:rPr>
          <w:rFonts w:ascii="Times New Roman" w:hAnsi="Times New Roman"/>
          <w:sz w:val="24"/>
          <w:szCs w:val="24"/>
        </w:rPr>
      </w:pPr>
      <w:r>
        <w:rPr>
          <w:spacing w:val="2"/>
          <w:sz w:val="24"/>
          <w:szCs w:val="24"/>
        </w:rPr>
        <w:t>(наименование и реквизиты заказчика)</w:t>
      </w:r>
    </w:p>
    <w:p>
      <w:pPr>
        <w:pStyle w:val="NormalWeb"/>
        <w:shd w:val="clear" w:color="auto" w:fill="FFFFFF"/>
        <w:spacing w:beforeAutospacing="0" w:before="0" w:afterAutospacing="0" w:after="0"/>
        <w:jc w:val="center"/>
        <w:textAlignment w:val="baseline"/>
        <w:rPr>
          <w:rFonts w:ascii="Times New Roman" w:hAnsi="Times New Roman"/>
          <w:sz w:val="24"/>
          <w:szCs w:val="24"/>
        </w:rPr>
      </w:pPr>
      <w:r>
        <w:rPr>
          <w:spacing w:val="2"/>
          <w:sz w:val="24"/>
          <w:szCs w:val="24"/>
        </w:rPr>
        <w:t>Гарантийное обязательство № ___</w:t>
      </w:r>
    </w:p>
    <w:p>
      <w:pPr>
        <w:pStyle w:val="NormalWeb"/>
        <w:shd w:val="clear" w:color="auto" w:fill="FFFFFF"/>
        <w:spacing w:beforeAutospacing="0" w:before="0" w:afterAutospacing="0" w:after="0"/>
        <w:textAlignment w:val="baseline"/>
        <w:rPr>
          <w:rFonts w:ascii="Times New Roman" w:hAnsi="Times New Roman"/>
          <w:sz w:val="24"/>
          <w:szCs w:val="24"/>
        </w:rPr>
      </w:pPr>
      <w:r>
        <w:rPr>
          <w:spacing w:val="2"/>
          <w:sz w:val="24"/>
          <w:szCs w:val="24"/>
        </w:rPr>
        <w:t>_______________________                                          «___»___________ _____ г.</w:t>
      </w:r>
    </w:p>
    <w:p>
      <w:pPr>
        <w:pStyle w:val="NormalWeb"/>
        <w:shd w:val="clear" w:color="auto" w:fill="FFFFFF"/>
        <w:spacing w:beforeAutospacing="0" w:before="0" w:afterAutospacing="0" w:after="0"/>
        <w:textAlignment w:val="baseline"/>
        <w:rPr>
          <w:rFonts w:ascii="Times New Roman" w:hAnsi="Times New Roman"/>
          <w:sz w:val="24"/>
          <w:szCs w:val="24"/>
        </w:rPr>
      </w:pPr>
      <w:r>
        <w:rPr>
          <w:spacing w:val="2"/>
          <w:sz w:val="24"/>
          <w:szCs w:val="24"/>
        </w:rPr>
        <w:t xml:space="preserve"> </w:t>
      </w:r>
      <w:r>
        <w:rPr>
          <w:spacing w:val="2"/>
          <w:sz w:val="24"/>
          <w:szCs w:val="24"/>
        </w:rPr>
        <w:t>(место нахождения)</w:t>
      </w:r>
    </w:p>
    <w:p>
      <w:pPr>
        <w:pStyle w:val="NormalWeb"/>
        <w:shd w:val="clear" w:color="auto" w:fill="FFFFFF"/>
        <w:spacing w:beforeAutospacing="0" w:before="0" w:afterAutospacing="0" w:after="0"/>
        <w:textAlignment w:val="baseline"/>
        <w:rPr>
          <w:rFonts w:ascii="Times New Roman" w:hAnsi="Times New Roman"/>
          <w:spacing w:val="2"/>
          <w:sz w:val="24"/>
          <w:szCs w:val="24"/>
        </w:rPr>
      </w:pPr>
      <w:r>
        <w:rPr>
          <w:spacing w:val="2"/>
          <w:sz w:val="24"/>
          <w:szCs w:val="24"/>
        </w:rPr>
      </w:r>
    </w:p>
    <w:p>
      <w:pPr>
        <w:pStyle w:val="NormalWeb"/>
        <w:shd w:val="clear" w:color="auto" w:fill="FFFFFF"/>
        <w:spacing w:beforeAutospacing="0" w:before="0" w:afterAutospacing="0" w:after="0"/>
        <w:ind w:left="0" w:right="0" w:firstLine="709"/>
        <w:textAlignment w:val="baseline"/>
        <w:rPr>
          <w:rFonts w:ascii="Times New Roman" w:hAnsi="Times New Roman"/>
          <w:sz w:val="24"/>
          <w:szCs w:val="24"/>
        </w:rPr>
      </w:pPr>
      <w:r>
        <w:rPr>
          <w:spacing w:val="2"/>
          <w:sz w:val="24"/>
          <w:szCs w:val="24"/>
        </w:rPr>
        <w:t>Принимая во внимание, что ____________________________________________________________,</w:t>
      </w:r>
    </w:p>
    <w:p>
      <w:pPr>
        <w:pStyle w:val="NormalWeb"/>
        <w:shd w:val="clear" w:color="auto" w:fill="FFFFFF"/>
        <w:spacing w:beforeAutospacing="0" w:before="0" w:afterAutospacing="0" w:after="0"/>
        <w:ind w:left="0" w:right="0" w:firstLine="709"/>
        <w:textAlignment w:val="baseline"/>
        <w:rPr>
          <w:rFonts w:ascii="Times New Roman" w:hAnsi="Times New Roman"/>
          <w:sz w:val="24"/>
          <w:szCs w:val="24"/>
        </w:rPr>
      </w:pPr>
      <w:r>
        <w:rPr>
          <w:spacing w:val="2"/>
          <w:sz w:val="24"/>
          <w:szCs w:val="24"/>
        </w:rPr>
        <w:t>(наименование поставщика)</w:t>
      </w:r>
    </w:p>
    <w:p>
      <w:pPr>
        <w:pStyle w:val="NormalWeb"/>
        <w:shd w:val="clear" w:color="auto" w:fill="FFFFFF"/>
        <w:spacing w:beforeAutospacing="0" w:before="0" w:afterAutospacing="0" w:after="0"/>
        <w:jc w:val="both"/>
        <w:textAlignment w:val="baseline"/>
        <w:rPr>
          <w:rFonts w:ascii="Times New Roman" w:hAnsi="Times New Roman"/>
          <w:sz w:val="24"/>
          <w:szCs w:val="24"/>
        </w:rPr>
      </w:pPr>
      <w:r>
        <w:rPr>
          <w:spacing w:val="2"/>
          <w:sz w:val="24"/>
          <w:szCs w:val="24"/>
        </w:rPr>
        <w:t>«Поставщик» заключил(ит)*договор поставки/договор закупа _________________ между заказчиком и поставщиком №__ от ______ г. (далее – договор) на поставку (оказание) __________________________________________________________________</w:t>
      </w:r>
    </w:p>
    <w:p>
      <w:pPr>
        <w:pStyle w:val="NormalWeb"/>
        <w:shd w:val="clear" w:color="auto" w:fill="FFFFFF"/>
        <w:spacing w:beforeAutospacing="0" w:before="0" w:afterAutospacing="0" w:after="0"/>
        <w:jc w:val="center"/>
        <w:textAlignment w:val="baseline"/>
        <w:rPr>
          <w:rFonts w:ascii="Times New Roman" w:hAnsi="Times New Roman"/>
          <w:sz w:val="24"/>
          <w:szCs w:val="24"/>
        </w:rPr>
      </w:pPr>
      <w:r>
        <w:rPr>
          <w:spacing w:val="2"/>
          <w:sz w:val="24"/>
          <w:szCs w:val="24"/>
        </w:rPr>
        <w:t>(описание товаров или услуг)</w:t>
      </w:r>
    </w:p>
    <w:p>
      <w:pPr>
        <w:pStyle w:val="NormalWeb"/>
        <w:shd w:val="clear" w:color="auto" w:fill="FFFFFF"/>
        <w:spacing w:beforeAutospacing="0" w:before="0" w:afterAutospacing="0" w:after="0"/>
        <w:jc w:val="both"/>
        <w:textAlignment w:val="baseline"/>
        <w:rPr>
          <w:rFonts w:ascii="Times New Roman" w:hAnsi="Times New Roman"/>
          <w:sz w:val="24"/>
          <w:szCs w:val="24"/>
        </w:rPr>
      </w:pPr>
      <w:r>
        <w:rPr>
          <w:spacing w:val="2"/>
          <w:sz w:val="24"/>
          <w:szCs w:val="24"/>
        </w:rPr>
        <w:t>и Вами было предусмотрено в Договоре, что Поставщик внесет обеспечение его исполнения в виде банковской гарантии на общую сумму ____________________________________________________ тенге, настоящим __________________________________________________________________</w:t>
      </w:r>
    </w:p>
    <w:p>
      <w:pPr>
        <w:pStyle w:val="NormalWeb"/>
        <w:shd w:val="clear" w:color="auto" w:fill="FFFFFF"/>
        <w:spacing w:beforeAutospacing="0" w:before="0" w:afterAutospacing="0" w:after="0"/>
        <w:jc w:val="both"/>
        <w:textAlignment w:val="baseline"/>
        <w:rPr>
          <w:rFonts w:ascii="Times New Roman" w:hAnsi="Times New Roman"/>
          <w:sz w:val="24"/>
          <w:szCs w:val="24"/>
        </w:rPr>
      </w:pPr>
      <w:r>
        <w:rPr>
          <w:spacing w:val="2"/>
          <w:sz w:val="24"/>
          <w:szCs w:val="24"/>
        </w:rPr>
        <w:t>(наименование банка)</w:t>
      </w:r>
    </w:p>
    <w:p>
      <w:pPr>
        <w:pStyle w:val="NormalWeb"/>
        <w:shd w:val="clear" w:color="auto" w:fill="FFFFFF"/>
        <w:spacing w:beforeAutospacing="0" w:before="0" w:afterAutospacing="0" w:after="0"/>
        <w:jc w:val="both"/>
        <w:textAlignment w:val="baseline"/>
        <w:rPr>
          <w:rFonts w:ascii="Times New Roman" w:hAnsi="Times New Roman"/>
          <w:sz w:val="24"/>
          <w:szCs w:val="24"/>
        </w:rPr>
      </w:pPr>
      <w:r>
        <w:rPr>
          <w:spacing w:val="2"/>
          <w:sz w:val="24"/>
          <w:szCs w:val="24"/>
        </w:rPr>
        <w:t>подтверждаем, что являемся гарантом по вышеуказанному Договору и берем на себя безотзывное обязательство выплатить Вам по Вашему требованию сумму, равную__________________________________________ по получении</w:t>
      </w:r>
    </w:p>
    <w:p>
      <w:pPr>
        <w:pStyle w:val="NormalWeb"/>
        <w:shd w:val="clear" w:color="auto" w:fill="FFFFFF"/>
        <w:spacing w:beforeAutospacing="0" w:before="0" w:afterAutospacing="0" w:after="0"/>
        <w:jc w:val="both"/>
        <w:textAlignment w:val="baseline"/>
        <w:rPr>
          <w:rFonts w:ascii="Times New Roman" w:hAnsi="Times New Roman"/>
          <w:sz w:val="24"/>
          <w:szCs w:val="24"/>
        </w:rPr>
      </w:pPr>
      <w:r>
        <w:rPr>
          <w:spacing w:val="2"/>
          <w:sz w:val="24"/>
          <w:szCs w:val="24"/>
        </w:rPr>
        <w:t xml:space="preserve"> </w:t>
      </w:r>
      <w:r>
        <w:rPr>
          <w:spacing w:val="2"/>
          <w:sz w:val="24"/>
          <w:szCs w:val="24"/>
        </w:rPr>
        <w:t>(сумма в цифрах и прописью)</w:t>
      </w:r>
    </w:p>
    <w:p>
      <w:pPr>
        <w:pStyle w:val="NormalWeb"/>
        <w:shd w:val="clear" w:color="auto" w:fill="FFFFFF"/>
        <w:spacing w:beforeAutospacing="0" w:before="0" w:afterAutospacing="0" w:after="0"/>
        <w:jc w:val="both"/>
        <w:textAlignment w:val="baseline"/>
        <w:rPr>
          <w:rFonts w:ascii="Times New Roman" w:hAnsi="Times New Roman"/>
          <w:sz w:val="24"/>
          <w:szCs w:val="24"/>
        </w:rPr>
      </w:pPr>
      <w:r>
        <w:rPr>
          <w:spacing w:val="2"/>
          <w:sz w:val="24"/>
          <w:szCs w:val="24"/>
        </w:rPr>
        <w:t>Вашего письменного требования на оплату, по основаниям, предусмотренным пунктом 98 Правил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утвержденных постановлением Правительства Республики Казахстан от 30 октября 2009 года № 1729, а также письменного подтверждения того, что Поставщик не исполнил или исполнил ненадлежащим образом свои обязательства по Договору.</w:t>
      </w:r>
    </w:p>
    <w:p>
      <w:pPr>
        <w:pStyle w:val="NormalWeb"/>
        <w:shd w:val="clear" w:color="auto" w:fill="FFFFFF"/>
        <w:spacing w:beforeAutospacing="0" w:before="0" w:afterAutospacing="0" w:after="0"/>
        <w:ind w:left="0" w:right="0" w:firstLine="709"/>
        <w:jc w:val="both"/>
        <w:textAlignment w:val="baseline"/>
        <w:rPr>
          <w:rFonts w:ascii="Times New Roman" w:hAnsi="Times New Roman"/>
          <w:sz w:val="24"/>
          <w:szCs w:val="24"/>
        </w:rPr>
      </w:pPr>
      <w:r>
        <w:rPr>
          <w:spacing w:val="2"/>
          <w:sz w:val="24"/>
          <w:szCs w:val="24"/>
        </w:rPr>
        <w:t>Данная гарантия вступает в силу со дня вскрытия конвертов с тендерными заявками.</w:t>
      </w:r>
    </w:p>
    <w:p>
      <w:pPr>
        <w:pStyle w:val="NormalWeb"/>
        <w:shd w:val="clear" w:color="auto" w:fill="FFFFFF"/>
        <w:spacing w:beforeAutospacing="0" w:before="0" w:afterAutospacing="0" w:after="0"/>
        <w:ind w:left="0" w:right="0" w:firstLine="709"/>
        <w:jc w:val="both"/>
        <w:textAlignment w:val="baseline"/>
        <w:rPr>
          <w:rFonts w:ascii="Times New Roman" w:hAnsi="Times New Roman"/>
          <w:sz w:val="24"/>
          <w:szCs w:val="24"/>
        </w:rPr>
      </w:pPr>
      <w:r>
        <w:rPr>
          <w:spacing w:val="2"/>
          <w:sz w:val="24"/>
          <w:szCs w:val="24"/>
        </w:rPr>
        <w:t>Данная гарантия действует до окончательного срока действия тендерной заявки Поставщика на участие в тендере. Если срок действия тендерной заявки продлен, то данное гарантийное обязательство продлевается на такой же срок.</w:t>
      </w:r>
    </w:p>
    <w:p>
      <w:pPr>
        <w:pStyle w:val="NormalWeb"/>
        <w:shd w:val="clear" w:color="auto" w:fill="FFFFFF"/>
        <w:spacing w:beforeAutospacing="0" w:before="0" w:afterAutospacing="0" w:after="0"/>
        <w:ind w:left="0" w:right="0" w:firstLine="709"/>
        <w:jc w:val="both"/>
        <w:textAlignment w:val="baseline"/>
        <w:rPr>
          <w:rFonts w:ascii="Times New Roman" w:hAnsi="Times New Roman"/>
          <w:spacing w:val="2"/>
          <w:sz w:val="24"/>
          <w:szCs w:val="24"/>
        </w:rPr>
      </w:pPr>
      <w:r>
        <w:rPr>
          <w:spacing w:val="2"/>
          <w:sz w:val="24"/>
          <w:szCs w:val="24"/>
        </w:rPr>
      </w:r>
    </w:p>
    <w:p>
      <w:pPr>
        <w:pStyle w:val="NormalWeb"/>
        <w:shd w:val="clear" w:color="auto" w:fill="FFFFFF"/>
        <w:spacing w:beforeAutospacing="0" w:before="0" w:afterAutospacing="0" w:after="0"/>
        <w:ind w:left="0" w:right="0" w:firstLine="709"/>
        <w:jc w:val="both"/>
        <w:textAlignment w:val="baseline"/>
        <w:rPr>
          <w:rFonts w:ascii="Times New Roman" w:hAnsi="Times New Roman"/>
          <w:sz w:val="24"/>
          <w:szCs w:val="24"/>
        </w:rPr>
      </w:pPr>
      <w:r>
        <w:rPr>
          <w:spacing w:val="2"/>
          <w:sz w:val="24"/>
          <w:szCs w:val="24"/>
        </w:rPr>
        <w:t>Подпись и печать гарантов                                               Дата и адрес</w:t>
      </w:r>
    </w:p>
    <w:p>
      <w:pPr>
        <w:pStyle w:val="NormalWeb"/>
        <w:spacing w:beforeAutospacing="0" w:before="120" w:afterAutospacing="0" w:after="120"/>
        <w:jc w:val="center"/>
        <w:rPr>
          <w:rFonts w:ascii="Times New Roman" w:hAnsi="Times New Roman"/>
          <w:sz w:val="24"/>
          <w:szCs w:val="24"/>
        </w:rPr>
      </w:pPr>
      <w:r>
        <w:rPr>
          <w:spacing w:val="2"/>
          <w:sz w:val="24"/>
          <w:szCs w:val="24"/>
        </w:rPr>
        <w:t>_______________________                                    _____________________</w:t>
      </w:r>
      <w:r>
        <w:br w:type="page"/>
      </w:r>
    </w:p>
    <w:p>
      <w:pPr>
        <w:pStyle w:val="NormalWeb"/>
        <w:spacing w:beforeAutospacing="0" w:before="120" w:afterAutospacing="0" w:after="120"/>
        <w:jc w:val="right"/>
        <w:rPr>
          <w:i w:val="false"/>
          <w:i w:val="false"/>
          <w:iCs w:val="false"/>
        </w:rPr>
      </w:pPr>
      <w:r>
        <w:rPr>
          <w:i w:val="false"/>
          <w:iCs w:val="false"/>
          <w:sz w:val="24"/>
          <w:szCs w:val="24"/>
        </w:rPr>
        <w:t>Приложение №9</w:t>
      </w:r>
    </w:p>
    <w:p>
      <w:pPr>
        <w:pStyle w:val="Normal"/>
        <w:ind w:left="0" w:right="0" w:firstLine="425"/>
        <w:jc w:val="right"/>
        <w:textAlignment w:val="baseline"/>
        <w:rPr>
          <w:i w:val="false"/>
          <w:i w:val="false"/>
          <w:iCs w:val="false"/>
        </w:rPr>
      </w:pPr>
      <w:r>
        <w:rPr>
          <w:rStyle w:val="S2"/>
          <w:i w:val="false"/>
          <w:iCs w:val="false"/>
          <w:color w:val="000000"/>
          <w:sz w:val="24"/>
          <w:szCs w:val="24"/>
          <w:u w:val="none"/>
        </w:rPr>
        <w:t xml:space="preserve">к тендерной документации </w:t>
        <w:br/>
        <w:t xml:space="preserve">для тендера </w:t>
      </w:r>
      <w:r>
        <w:rPr>
          <w:rStyle w:val="S2"/>
          <w:b/>
          <w:bCs/>
          <w:i w:val="false"/>
          <w:iCs w:val="false"/>
          <w:color w:val="000000"/>
          <w:sz w:val="24"/>
          <w:szCs w:val="24"/>
          <w:u w:val="none"/>
          <w:lang w:val="kk-KZ"/>
        </w:rPr>
        <w:t>№2 «</w:t>
      </w:r>
      <w:r>
        <w:rPr>
          <w:rStyle w:val="S2"/>
          <w:rFonts w:eastAsia="Noto Serif CJK SC" w:cs="Lohit Devanagari"/>
          <w:b/>
          <w:bCs/>
          <w:i w:val="false"/>
          <w:iCs w:val="false"/>
          <w:color w:val="auto"/>
          <w:kern w:val="2"/>
          <w:sz w:val="24"/>
          <w:szCs w:val="24"/>
          <w:u w:val="none"/>
          <w:lang w:val="kk-KZ" w:eastAsia="zh-CN" w:bidi="hi-IN"/>
        </w:rPr>
        <w:t>Медицинское оборудование для родильного отделения</w:t>
      </w:r>
      <w:r>
        <w:rPr>
          <w:rStyle w:val="S2"/>
          <w:b/>
          <w:bCs/>
          <w:i w:val="false"/>
          <w:iCs w:val="false"/>
          <w:color w:val="000000"/>
          <w:sz w:val="24"/>
          <w:szCs w:val="24"/>
          <w:u w:val="none"/>
          <w:lang w:val="kk-KZ"/>
        </w:rPr>
        <w:t>»</w:t>
      </w:r>
    </w:p>
    <w:p>
      <w:pPr>
        <w:pStyle w:val="Heading3"/>
        <w:spacing w:before="280" w:after="280"/>
        <w:rPr>
          <w:rFonts w:ascii="Times New Roman" w:hAnsi="Times New Roman"/>
          <w:sz w:val="24"/>
          <w:szCs w:val="24"/>
        </w:rPr>
      </w:pPr>
      <w:bookmarkStart w:id="124" w:name="__RefHeading___Toc3438_223126817"/>
      <w:bookmarkEnd w:id="124"/>
      <w:r>
        <w:rPr/>
        <w:t xml:space="preserve">Справка об отсутствии просроченной задолженности </w:t>
      </w:r>
    </w:p>
    <w:p>
      <w:pPr>
        <w:pStyle w:val="TextBody"/>
        <w:rPr>
          <w:rFonts w:ascii="Times New Roman" w:hAnsi="Times New Roman"/>
          <w:sz w:val="24"/>
          <w:szCs w:val="24"/>
        </w:rPr>
      </w:pPr>
      <w:r>
        <w:rPr/>
        <w:t>Банк/филиал банка (наименование) по состоянию на __________________ подтверждает отсутствие просроченной задолженности по всем видам его обязательств длящейся более трех месяцев перед банком, согласно типовому плану счетов бухгалтерского учета в банках второго уровня, ипотечных организациях и акционерном обществе «Банк Развития Казахстана», утвержденному постановлением правления Национального Банка Республики Казахстан _________________________________________</w:t>
      </w:r>
    </w:p>
    <w:p>
      <w:pPr>
        <w:pStyle w:val="TextBody"/>
        <w:rPr>
          <w:rFonts w:ascii="Times New Roman" w:hAnsi="Times New Roman"/>
          <w:sz w:val="24"/>
          <w:szCs w:val="24"/>
        </w:rPr>
      </w:pPr>
      <w:r>
        <w:rPr/>
        <w:t xml:space="preserve">                                        </w:t>
      </w:r>
      <w:r>
        <w:rPr/>
        <w:t>(указать полное наименование физического лица, ___________________________________________________________________осуществляющего предпринимательскую деятельность, или юридического лица, телефон, адрес, БИН/ИИН*, БИК**),обслуживающегося в данном банке/филиале банка,</w:t>
      </w:r>
    </w:p>
    <w:p>
      <w:pPr>
        <w:pStyle w:val="TextBody"/>
        <w:rPr>
          <w:rFonts w:ascii="Times New Roman" w:hAnsi="Times New Roman"/>
          <w:sz w:val="24"/>
          <w:szCs w:val="24"/>
        </w:rPr>
      </w:pPr>
      <w:r>
        <w:rPr/>
        <w:t>выданной не ранее одного месяца предшествующего дате вскрытия конвертов.</w:t>
      </w:r>
    </w:p>
    <w:p>
      <w:pPr>
        <w:pStyle w:val="TextBody"/>
        <w:rPr>
          <w:rFonts w:ascii="Times New Roman" w:hAnsi="Times New Roman"/>
          <w:spacing w:val="2"/>
          <w:sz w:val="24"/>
          <w:szCs w:val="24"/>
        </w:rPr>
      </w:pPr>
      <w:r>
        <w:rPr>
          <w:spacing w:val="2"/>
          <w:sz w:val="24"/>
          <w:szCs w:val="24"/>
        </w:rPr>
      </w:r>
    </w:p>
    <w:p>
      <w:pPr>
        <w:pStyle w:val="TextBody"/>
        <w:rPr>
          <w:rFonts w:ascii="Times New Roman" w:hAnsi="Times New Roman"/>
          <w:spacing w:val="2"/>
          <w:sz w:val="24"/>
          <w:szCs w:val="24"/>
        </w:rPr>
      </w:pPr>
      <w:r>
        <w:rPr>
          <w:spacing w:val="2"/>
          <w:sz w:val="24"/>
          <w:szCs w:val="24"/>
        </w:rPr>
      </w:r>
    </w:p>
    <w:p>
      <w:pPr>
        <w:pStyle w:val="TextBody"/>
        <w:rPr>
          <w:rFonts w:ascii="Times New Roman" w:hAnsi="Times New Roman"/>
          <w:sz w:val="24"/>
          <w:szCs w:val="24"/>
        </w:rPr>
      </w:pPr>
      <w:r>
        <w:rPr/>
        <w:t>Дата</w:t>
      </w:r>
    </w:p>
    <w:p>
      <w:pPr>
        <w:pStyle w:val="TextBody"/>
        <w:rPr>
          <w:rFonts w:ascii="Times New Roman" w:hAnsi="Times New Roman"/>
          <w:spacing w:val="2"/>
          <w:sz w:val="24"/>
          <w:szCs w:val="24"/>
        </w:rPr>
      </w:pPr>
      <w:r>
        <w:rPr>
          <w:spacing w:val="2"/>
          <w:sz w:val="24"/>
          <w:szCs w:val="24"/>
        </w:rPr>
      </w:r>
    </w:p>
    <w:p>
      <w:pPr>
        <w:pStyle w:val="TextBody"/>
        <w:rPr>
          <w:rFonts w:ascii="Times New Roman" w:hAnsi="Times New Roman"/>
          <w:sz w:val="24"/>
          <w:szCs w:val="24"/>
        </w:rPr>
      </w:pPr>
      <w:r>
        <w:rPr/>
        <w:t>Подпись</w:t>
      </w:r>
    </w:p>
    <w:p>
      <w:pPr>
        <w:pStyle w:val="TextBody"/>
        <w:rPr>
          <w:rFonts w:ascii="Times New Roman" w:hAnsi="Times New Roman"/>
          <w:spacing w:val="2"/>
          <w:sz w:val="24"/>
          <w:szCs w:val="24"/>
        </w:rPr>
      </w:pPr>
      <w:r>
        <w:rPr>
          <w:spacing w:val="2"/>
          <w:sz w:val="24"/>
          <w:szCs w:val="24"/>
        </w:rPr>
      </w:r>
    </w:p>
    <w:p>
      <w:pPr>
        <w:pStyle w:val="TextBody"/>
        <w:rPr>
          <w:rFonts w:ascii="Times New Roman" w:hAnsi="Times New Roman"/>
          <w:sz w:val="24"/>
          <w:szCs w:val="24"/>
        </w:rPr>
      </w:pPr>
      <w:r>
        <w:rPr/>
        <w:t>Печать</w:t>
      </w:r>
    </w:p>
    <w:p>
      <w:pPr>
        <w:pStyle w:val="TextBody"/>
        <w:rPr>
          <w:rFonts w:ascii="Times New Roman" w:hAnsi="Times New Roman"/>
          <w:sz w:val="24"/>
          <w:szCs w:val="24"/>
        </w:rPr>
      </w:pPr>
      <w:r>
        <w:rPr/>
        <w:t>(при наличии)</w:t>
      </w:r>
    </w:p>
    <w:p>
      <w:pPr>
        <w:pStyle w:val="TextBody"/>
        <w:rPr>
          <w:rFonts w:ascii="Times New Roman" w:hAnsi="Times New Roman"/>
          <w:spacing w:val="2"/>
          <w:sz w:val="24"/>
          <w:szCs w:val="24"/>
        </w:rPr>
      </w:pPr>
      <w:r>
        <w:rPr>
          <w:spacing w:val="2"/>
          <w:sz w:val="24"/>
          <w:szCs w:val="24"/>
        </w:rPr>
      </w:r>
    </w:p>
    <w:p>
      <w:pPr>
        <w:pStyle w:val="TextBody"/>
        <w:rPr>
          <w:rFonts w:ascii="Times New Roman" w:hAnsi="Times New Roman"/>
          <w:spacing w:val="2"/>
          <w:sz w:val="24"/>
          <w:szCs w:val="24"/>
        </w:rPr>
      </w:pPr>
      <w:r>
        <w:rPr>
          <w:spacing w:val="2"/>
          <w:sz w:val="24"/>
          <w:szCs w:val="24"/>
        </w:rPr>
      </w:r>
    </w:p>
    <w:p>
      <w:pPr>
        <w:pStyle w:val="TextBody"/>
        <w:rPr>
          <w:rFonts w:ascii="Times New Roman" w:hAnsi="Times New Roman"/>
          <w:spacing w:val="2"/>
          <w:sz w:val="24"/>
          <w:szCs w:val="24"/>
        </w:rPr>
      </w:pPr>
      <w:r>
        <w:rPr>
          <w:spacing w:val="2"/>
          <w:sz w:val="24"/>
          <w:szCs w:val="24"/>
        </w:rPr>
      </w:r>
    </w:p>
    <w:p>
      <w:pPr>
        <w:pStyle w:val="TextBody"/>
        <w:rPr>
          <w:rFonts w:ascii="Times New Roman" w:hAnsi="Times New Roman"/>
          <w:spacing w:val="2"/>
          <w:sz w:val="24"/>
          <w:szCs w:val="24"/>
        </w:rPr>
      </w:pPr>
      <w:r>
        <w:rPr>
          <w:spacing w:val="2"/>
          <w:sz w:val="24"/>
          <w:szCs w:val="24"/>
        </w:rPr>
      </w:r>
    </w:p>
    <w:p>
      <w:pPr>
        <w:pStyle w:val="TextBody"/>
        <w:rPr>
          <w:rFonts w:ascii="Times New Roman" w:hAnsi="Times New Roman"/>
          <w:sz w:val="24"/>
          <w:szCs w:val="24"/>
        </w:rPr>
      </w:pPr>
      <w:r>
        <w:rPr/>
        <w:t>* БИН/ИИН - бизнес идентификационный номер/ индивидуальный идентификационный номер;</w:t>
      </w:r>
    </w:p>
    <w:p>
      <w:pPr>
        <w:pStyle w:val="TextBody"/>
        <w:rPr>
          <w:rFonts w:ascii="Times New Roman" w:hAnsi="Times New Roman"/>
          <w:sz w:val="24"/>
          <w:szCs w:val="24"/>
        </w:rPr>
      </w:pPr>
      <w:r>
        <w:rPr>
          <w:spacing w:val="2"/>
          <w:sz w:val="24"/>
          <w:szCs w:val="24"/>
        </w:rPr>
        <w:t xml:space="preserve">**БИК - </w:t>
      </w:r>
      <w:r>
        <w:rPr>
          <w:rStyle w:val="Appleconvertedspace"/>
          <w:color w:val="545454"/>
          <w:sz w:val="24"/>
          <w:szCs w:val="24"/>
          <w:shd w:fill="FFFFFF" w:val="clear"/>
        </w:rPr>
        <w:t> б</w:t>
      </w:r>
      <w:r>
        <w:rPr>
          <w:spacing w:val="2"/>
          <w:sz w:val="24"/>
          <w:szCs w:val="24"/>
        </w:rPr>
        <w:t>анковский идентификационный код</w:t>
      </w:r>
      <w:r>
        <w:rPr>
          <w:rStyle w:val="Appleconvertedspace"/>
          <w:color w:val="545454"/>
          <w:sz w:val="24"/>
          <w:szCs w:val="24"/>
          <w:shd w:fill="FFFFFF" w:val="clear"/>
        </w:rPr>
        <w:t>.</w:t>
      </w:r>
      <w:r>
        <w:br w:type="page"/>
      </w:r>
    </w:p>
    <w:p>
      <w:pPr>
        <w:pStyle w:val="TextBody"/>
        <w:jc w:val="right"/>
        <w:rPr>
          <w:rFonts w:ascii="Times New Roman" w:hAnsi="Times New Roman"/>
          <w:sz w:val="24"/>
          <w:szCs w:val="24"/>
        </w:rPr>
      </w:pPr>
      <w:bookmarkStart w:id="125" w:name="sub1001208997"/>
      <w:bookmarkStart w:id="126" w:name="SUB7"/>
      <w:bookmarkEnd w:id="126"/>
      <w:r>
        <w:rPr/>
        <w:t xml:space="preserve">Приложение </w:t>
      </w:r>
      <w:bookmarkEnd w:id="125"/>
      <w:r>
        <w:rPr/>
        <w:t>10</w:t>
      </w:r>
    </w:p>
    <w:p>
      <w:pPr>
        <w:pStyle w:val="TextBody"/>
        <w:jc w:val="right"/>
        <w:rPr>
          <w:rFonts w:ascii="Times New Roman" w:hAnsi="Times New Roman"/>
          <w:sz w:val="24"/>
          <w:szCs w:val="24"/>
        </w:rPr>
      </w:pPr>
      <w:r>
        <w:rPr>
          <w:rStyle w:val="S2"/>
          <w:i w:val="false"/>
          <w:iCs w:val="false"/>
          <w:color w:val="auto"/>
          <w:u w:val="none"/>
        </w:rPr>
        <w:t xml:space="preserve">к тендерной документации </w:t>
        <w:br/>
        <w:t xml:space="preserve">для тендера </w:t>
      </w:r>
      <w:r>
        <w:rPr>
          <w:rStyle w:val="S2"/>
          <w:b/>
          <w:bCs/>
          <w:i w:val="false"/>
          <w:iCs w:val="false"/>
          <w:color w:val="auto"/>
          <w:sz w:val="24"/>
          <w:szCs w:val="24"/>
          <w:u w:val="none"/>
          <w:lang w:val="kk-KZ"/>
        </w:rPr>
        <w:t>№2 «</w:t>
      </w:r>
      <w:r>
        <w:rPr>
          <w:rStyle w:val="S2"/>
          <w:rFonts w:eastAsia="Noto Serif CJK SC" w:cs="Lohit Devanagari"/>
          <w:b/>
          <w:bCs/>
          <w:i w:val="false"/>
          <w:iCs w:val="false"/>
          <w:color w:val="auto"/>
          <w:kern w:val="2"/>
          <w:sz w:val="24"/>
          <w:szCs w:val="24"/>
          <w:u w:val="none"/>
          <w:lang w:val="kk-KZ" w:eastAsia="zh-CN" w:bidi="hi-IN"/>
        </w:rPr>
        <w:t>Медицинское оборудование для родильного отделения</w:t>
      </w:r>
      <w:r>
        <w:rPr>
          <w:rStyle w:val="S2"/>
          <w:b/>
          <w:bCs/>
          <w:i w:val="false"/>
          <w:iCs w:val="false"/>
          <w:color w:val="auto"/>
          <w:sz w:val="24"/>
          <w:szCs w:val="24"/>
          <w:u w:val="none"/>
          <w:lang w:val="kk-KZ"/>
        </w:rPr>
        <w:t>»</w:t>
      </w:r>
    </w:p>
    <w:p>
      <w:pPr>
        <w:pStyle w:val="Heading3"/>
        <w:spacing w:before="280" w:after="280"/>
        <w:rPr>
          <w:rFonts w:ascii="Times New Roman" w:hAnsi="Times New Roman"/>
          <w:sz w:val="24"/>
          <w:szCs w:val="24"/>
        </w:rPr>
      </w:pPr>
      <w:bookmarkStart w:id="127" w:name="__RefHeading___Toc3440_223126817"/>
      <w:bookmarkEnd w:id="127"/>
      <w:r>
        <w:rPr/>
        <w:t>Типовой договор закупа</w:t>
      </w:r>
    </w:p>
    <w:p>
      <w:pPr>
        <w:pStyle w:val="TextBody"/>
        <w:tabs>
          <w:tab w:val="clear" w:pos="709"/>
          <w:tab w:val="right" w:pos="9638" w:leader="none"/>
        </w:tabs>
        <w:rPr>
          <w:rFonts w:ascii="Times New Roman" w:hAnsi="Times New Roman"/>
          <w:sz w:val="24"/>
          <w:szCs w:val="24"/>
        </w:rPr>
      </w:pPr>
      <w:r>
        <w:rPr/>
        <w:t>с. Бородулиха</w:t>
        <w:tab/>
        <w:t>"___" __________ _____ г.</w:t>
      </w:r>
    </w:p>
    <w:p>
      <w:pPr>
        <w:pStyle w:val="TextBody"/>
        <w:jc w:val="both"/>
        <w:rPr>
          <w:rFonts w:ascii="Times New Roman" w:hAnsi="Times New Roman"/>
          <w:sz w:val="24"/>
          <w:szCs w:val="24"/>
        </w:rPr>
      </w:pPr>
      <w:r>
        <w:rPr>
          <w:rFonts w:eastAsia="Noto Serif CJK SC" w:cs="Lohit Devanagari"/>
          <w:color w:val="auto"/>
          <w:kern w:val="2"/>
          <w:sz w:val="24"/>
          <w:szCs w:val="24"/>
          <w:lang w:val="ru-RU" w:eastAsia="zh-CN" w:bidi="hi-IN"/>
        </w:rPr>
        <w:t>КГП на ПХВ «Районная больница Бородулихинского района» УЗ ВКО</w:t>
      </w:r>
      <w:r>
        <w:rPr/>
        <w:t xml:space="preserve">, именуемое в дальнейшем «Заказчик», в лице </w:t>
      </w:r>
      <w:r>
        <w:rPr>
          <w:rFonts w:eastAsia="Noto Serif CJK SC" w:cs="Lohit Devanagari"/>
          <w:color w:val="auto"/>
          <w:kern w:val="2"/>
          <w:sz w:val="24"/>
          <w:szCs w:val="24"/>
          <w:lang w:val="ru-RU" w:eastAsia="zh-CN" w:bidi="hi-IN"/>
        </w:rPr>
        <w:t>главного врача Эфендиева Умуд Муса-оглы</w:t>
      </w:r>
      <w:r>
        <w:rPr/>
        <w:t>,</w:t>
        <w:br/>
        <w:t>уполномоченного лица с одной стороны, и __________________________________________________________________</w:t>
        <w:br/>
        <w:t>________________________________________________________________________________________________</w:t>
        <w:br/>
        <w:t>(полное наименование Поставщика – победителя тендера)</w:t>
        <w:br/>
        <w:t>___________________________________________________, именуемый (ое) (ая) в дальнейшем – "Поставщик",</w:t>
        <w:br/>
        <w:t>в лице _______________________________________________________________________,</w:t>
        <w:br/>
        <w:t>                        должность, фамилия, имя, отчество (при его наличии)</w:t>
        <w:br/>
        <w:t>уполномоченного лица, действующего на основании _________________________________________________,</w:t>
        <w:br/>
        <w:t>(устава, положения)</w:t>
        <w:br/>
        <w:t xml:space="preserve">с другой стороны, на основании </w:t>
      </w:r>
      <w:r>
        <w:rPr>
          <w:rFonts w:eastAsia="Noto Serif CJK SC" w:cs="Lohit Devanagari"/>
          <w:b w:val="false"/>
          <w:bCs w:val="false"/>
          <w:color w:val="auto"/>
          <w:kern w:val="2"/>
          <w:sz w:val="24"/>
          <w:szCs w:val="24"/>
          <w:lang w:val="kk-KZ" w:eastAsia="zh-CN" w:bidi="hi-IN"/>
        </w:rPr>
        <w:t>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фармацевтческих услуг</w:t>
      </w:r>
      <w:r>
        <w:rPr>
          <w:b w:val="false"/>
          <w:bCs w:val="false"/>
          <w:lang w:val="kk-KZ"/>
        </w:rPr>
        <w:t>», утвержденными постановлением Правительства Республики Казахстан от июня 2021 года № 375</w:t>
      </w:r>
      <w:r>
        <w:rPr/>
        <w:t xml:space="preserve"> и</w:t>
        <w:br/>
        <w:t>протокола об итогах закупа способом ______________________ (указать способ) по закупу (предмет закупа), прошедшего в году _____ № _______ от "___" __________ _____ года заключили настоящий Договор закупа</w:t>
        <w:br/>
        <w:t>(далее – Договор) и пришли к соглашению о нижеследующем:</w:t>
      </w:r>
    </w:p>
    <w:p>
      <w:pPr>
        <w:pStyle w:val="TextBody"/>
        <w:rPr>
          <w:rFonts w:ascii="Times New Roman" w:hAnsi="Times New Roman"/>
          <w:sz w:val="24"/>
          <w:szCs w:val="24"/>
        </w:rPr>
      </w:pPr>
      <w:r>
        <w:rPr/>
        <w:t>1. 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
    <w:p>
      <w:pPr>
        <w:pStyle w:val="TextBody"/>
        <w:rPr>
          <w:rFonts w:ascii="Times New Roman" w:hAnsi="Times New Roman"/>
          <w:sz w:val="24"/>
          <w:szCs w:val="24"/>
        </w:rPr>
      </w:pPr>
      <w:r>
        <w:rPr/>
        <w:t>2. Общая стоимость товаров (для ГУ указать наименование товаров согласно бюджетной программы/специфики) составляет (указать сумму цифрами и прописью) (далее – общая сумма договора).</w:t>
      </w:r>
    </w:p>
    <w:p>
      <w:pPr>
        <w:pStyle w:val="TextBody"/>
        <w:rPr>
          <w:rFonts w:ascii="Times New Roman" w:hAnsi="Times New Roman"/>
          <w:sz w:val="24"/>
          <w:szCs w:val="24"/>
        </w:rPr>
      </w:pPr>
      <w:r>
        <w:rPr/>
        <w:t>3. В данном Договоре нижеперечисленные понятия будут иметь следующее толкование:</w:t>
      </w:r>
    </w:p>
    <w:p>
      <w:pPr>
        <w:pStyle w:val="TextBody"/>
        <w:rPr>
          <w:rFonts w:ascii="Times New Roman" w:hAnsi="Times New Roman"/>
          <w:sz w:val="24"/>
          <w:szCs w:val="24"/>
        </w:rPr>
      </w:pPr>
      <w:r>
        <w:rPr/>
        <w:t>1) Договор – гражданско-правовой договор, заключенный между Заказчиком и Поставщиком в соответствии с Правилами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w:t>
        <w:br/>
        <w:t>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p>
      <w:pPr>
        <w:pStyle w:val="TextBody"/>
        <w:rPr>
          <w:rFonts w:ascii="Times New Roman" w:hAnsi="Times New Roman"/>
          <w:sz w:val="24"/>
          <w:szCs w:val="24"/>
        </w:rPr>
      </w:pPr>
      <w:r>
        <w:rPr/>
        <w:t>2) 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p>
    <w:p>
      <w:pPr>
        <w:pStyle w:val="TextBody"/>
        <w:rPr>
          <w:rFonts w:ascii="Times New Roman" w:hAnsi="Times New Roman"/>
          <w:sz w:val="24"/>
          <w:szCs w:val="24"/>
        </w:rPr>
      </w:pPr>
      <w:r>
        <w:rPr/>
        <w:t>3) товары - товары и сопутствующие услуги, которые Поставщик должен поставить Заказчику в рамках Договора;</w:t>
      </w:r>
    </w:p>
    <w:p>
      <w:pPr>
        <w:pStyle w:val="TextBody"/>
        <w:rPr>
          <w:rFonts w:ascii="Times New Roman" w:hAnsi="Times New Roman"/>
          <w:sz w:val="24"/>
          <w:szCs w:val="24"/>
        </w:rPr>
      </w:pPr>
      <w:r>
        <w:rPr/>
        <w:t>4) сопутствующие услуги -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p>
    <w:p>
      <w:pPr>
        <w:pStyle w:val="TextBody"/>
        <w:rPr>
          <w:rFonts w:ascii="Times New Roman" w:hAnsi="Times New Roman"/>
          <w:sz w:val="24"/>
          <w:szCs w:val="24"/>
        </w:rPr>
      </w:pPr>
      <w:r>
        <w:rPr/>
        <w:t>5) Заказчик – государственные органы, государственные учреждения, государственные предприятия и акционерные общества, контрольный пакет акций которых принадлежит государству, а также аффилиированные с ними юридические лица;</w:t>
      </w:r>
    </w:p>
    <w:p>
      <w:pPr>
        <w:pStyle w:val="TextBody"/>
        <w:rPr>
          <w:rFonts w:ascii="Times New Roman" w:hAnsi="Times New Roman"/>
          <w:sz w:val="24"/>
          <w:szCs w:val="24"/>
        </w:rPr>
      </w:pPr>
      <w:r>
        <w:rPr/>
        <w:t>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pPr>
        <w:pStyle w:val="TextBody"/>
        <w:rPr>
          <w:rFonts w:ascii="Times New Roman" w:hAnsi="Times New Roman"/>
          <w:sz w:val="24"/>
          <w:szCs w:val="24"/>
        </w:rPr>
      </w:pPr>
      <w:r>
        <w:rPr/>
        <w:t>4. Перечисленные ниже документы и условия, оговоренные в них, образуют данный Договор и считаются его неотъемлемой частью, а именно:</w:t>
      </w:r>
    </w:p>
    <w:p>
      <w:pPr>
        <w:pStyle w:val="TextBody"/>
        <w:rPr>
          <w:rFonts w:ascii="Times New Roman" w:hAnsi="Times New Roman"/>
          <w:sz w:val="24"/>
          <w:szCs w:val="24"/>
        </w:rPr>
      </w:pPr>
      <w:r>
        <w:rPr/>
        <w:t>1) настоящий Договор;</w:t>
      </w:r>
    </w:p>
    <w:p>
      <w:pPr>
        <w:pStyle w:val="TextBody"/>
        <w:rPr>
          <w:rFonts w:ascii="Times New Roman" w:hAnsi="Times New Roman"/>
          <w:sz w:val="24"/>
          <w:szCs w:val="24"/>
        </w:rPr>
      </w:pPr>
      <w:r>
        <w:rPr/>
        <w:t>2) перечень закупаемых товаров;</w:t>
      </w:r>
    </w:p>
    <w:p>
      <w:pPr>
        <w:pStyle w:val="TextBody"/>
        <w:rPr>
          <w:rFonts w:ascii="Times New Roman" w:hAnsi="Times New Roman"/>
          <w:sz w:val="24"/>
          <w:szCs w:val="24"/>
        </w:rPr>
      </w:pPr>
      <w:r>
        <w:rPr/>
        <w:t>3) техническая спецификация;</w:t>
      </w:r>
    </w:p>
    <w:p>
      <w:pPr>
        <w:pStyle w:val="TextBody"/>
        <w:rPr>
          <w:rFonts w:ascii="Times New Roman" w:hAnsi="Times New Roman"/>
          <w:sz w:val="24"/>
          <w:szCs w:val="24"/>
        </w:rPr>
      </w:pPr>
      <w:r>
        <w:rPr/>
        <w:t>4) обеспечение исполнения Договора (этот подпункт указывается, если в тендерной документации предусматривается внесение обеспечения исполнения Договора).</w:t>
      </w:r>
    </w:p>
    <w:p>
      <w:pPr>
        <w:pStyle w:val="TextBody"/>
        <w:rPr>
          <w:rFonts w:ascii="Times New Roman" w:hAnsi="Times New Roman"/>
          <w:sz w:val="24"/>
          <w:szCs w:val="24"/>
        </w:rPr>
      </w:pPr>
      <w:r>
        <w:rPr/>
        <w:t>5. Форма оплаты ____________________________________________________________________________</w:t>
        <w:br/>
        <w:t>(перечисление, за наличный расчет, аккредитив и т. д.)</w:t>
      </w:r>
    </w:p>
    <w:p>
      <w:pPr>
        <w:pStyle w:val="TextBody"/>
        <w:rPr>
          <w:rFonts w:ascii="Times New Roman" w:hAnsi="Times New Roman"/>
          <w:sz w:val="24"/>
          <w:szCs w:val="24"/>
        </w:rPr>
      </w:pPr>
      <w:r>
        <w:rPr/>
        <w:t>6. Сроки выплат ____________________________________________________________________________________________________________________________________________________________________________ (пример: % после приемки товара в пункте назначения или предоплата или и т. д.)</w:t>
      </w:r>
    </w:p>
    <w:p>
      <w:pPr>
        <w:pStyle w:val="TextBody"/>
        <w:rPr>
          <w:rFonts w:ascii="Times New Roman" w:hAnsi="Times New Roman"/>
          <w:sz w:val="24"/>
          <w:szCs w:val="24"/>
        </w:rPr>
      </w:pPr>
      <w:r>
        <w:rPr/>
        <w:t>7. Необходимые документы, предшествующие оплате:</w:t>
      </w:r>
    </w:p>
    <w:p>
      <w:pPr>
        <w:pStyle w:val="TextBody"/>
        <w:rPr>
          <w:rFonts w:ascii="Times New Roman" w:hAnsi="Times New Roman"/>
          <w:sz w:val="24"/>
          <w:szCs w:val="24"/>
        </w:rPr>
      </w:pPr>
      <w:r>
        <w:rPr/>
        <w:t>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pPr>
        <w:pStyle w:val="TextBody"/>
        <w:rPr>
          <w:rFonts w:ascii="Times New Roman" w:hAnsi="Times New Roman"/>
          <w:sz w:val="24"/>
          <w:szCs w:val="24"/>
        </w:rPr>
      </w:pPr>
      <w:r>
        <w:rPr/>
        <w:t>2)________________________________________________________________________ (счет-фактура или акт приемки-передачи)</w:t>
      </w:r>
    </w:p>
    <w:p>
      <w:pPr>
        <w:pStyle w:val="TextBody"/>
        <w:rPr>
          <w:rFonts w:ascii="Times New Roman" w:hAnsi="Times New Roman"/>
          <w:sz w:val="24"/>
          <w:szCs w:val="24"/>
        </w:rPr>
      </w:pPr>
      <w:r>
        <w:rPr/>
        <w:t>8. Товары, поставляемые в рамках данного Договора, должны соответствовать или быть выше стандартов, указанных в технической спецификации.</w:t>
      </w:r>
    </w:p>
    <w:p>
      <w:pPr>
        <w:pStyle w:val="TextBody"/>
        <w:rPr>
          <w:rFonts w:ascii="Times New Roman" w:hAnsi="Times New Roman"/>
          <w:sz w:val="24"/>
          <w:szCs w:val="24"/>
        </w:rPr>
      </w:pPr>
      <w:r>
        <w:rPr/>
        <w:t>9.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pPr>
        <w:pStyle w:val="TextBody"/>
        <w:rPr>
          <w:rFonts w:ascii="Times New Roman" w:hAnsi="Times New Roman"/>
          <w:sz w:val="24"/>
          <w:szCs w:val="24"/>
        </w:rPr>
      </w:pPr>
      <w:r>
        <w:rPr/>
        <w:t>10.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pPr>
        <w:pStyle w:val="TextBody"/>
        <w:rPr>
          <w:rFonts w:ascii="Times New Roman" w:hAnsi="Times New Roman"/>
          <w:sz w:val="24"/>
          <w:szCs w:val="24"/>
        </w:rPr>
      </w:pPr>
      <w:r>
        <w:rPr/>
        <w:t>11. 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тендерной документации.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w:t>
        <w:br/>
        <w:t>конечного пункта доставки и наличие мощных грузоподъемных средств во всех пунктах следования товаров.</w:t>
      </w:r>
    </w:p>
    <w:p>
      <w:pPr>
        <w:pStyle w:val="TextBody"/>
        <w:rPr>
          <w:rFonts w:ascii="Times New Roman" w:hAnsi="Times New Roman"/>
          <w:sz w:val="24"/>
          <w:szCs w:val="24"/>
        </w:rPr>
      </w:pPr>
      <w:r>
        <w:rPr/>
        <w:t>12. Упаковка и маркировка ящиков, а также документация внутри и вне ее должны строго соответствовать специальным требованиям, определенным Заказчиком.</w:t>
      </w:r>
    </w:p>
    <w:p>
      <w:pPr>
        <w:pStyle w:val="TextBody"/>
        <w:rPr>
          <w:rFonts w:ascii="Times New Roman" w:hAnsi="Times New Roman"/>
          <w:sz w:val="24"/>
          <w:szCs w:val="24"/>
        </w:rPr>
      </w:pPr>
      <w:r>
        <w:rPr/>
        <w:t>13. Поставка товаров осуществляется Поставщиком в соответствии с условиями Заказчика, оговоренными в перечне закупаемых товаров.</w:t>
      </w:r>
    </w:p>
    <w:p>
      <w:pPr>
        <w:pStyle w:val="TextBody"/>
        <w:rPr>
          <w:rFonts w:ascii="Times New Roman" w:hAnsi="Times New Roman"/>
          <w:sz w:val="24"/>
          <w:szCs w:val="24"/>
        </w:rPr>
      </w:pPr>
      <w:r>
        <w:rPr/>
        <w:t>14. Поставщик должен поставить товары до пункта назначения, указанного в приложении 1 к тендерной документации.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pPr>
        <w:pStyle w:val="TextBody"/>
        <w:rPr>
          <w:rFonts w:ascii="Times New Roman" w:hAnsi="Times New Roman"/>
          <w:sz w:val="24"/>
          <w:szCs w:val="24"/>
        </w:rPr>
      </w:pPr>
      <w:r>
        <w:rPr/>
        <w:t>15. В рамках данного Договора Поставщик должен предоставить услуги, указанные в тендерной документации.</w:t>
      </w:r>
    </w:p>
    <w:p>
      <w:pPr>
        <w:pStyle w:val="TextBody"/>
        <w:rPr>
          <w:rFonts w:ascii="Times New Roman" w:hAnsi="Times New Roman"/>
          <w:sz w:val="24"/>
          <w:szCs w:val="24"/>
        </w:rPr>
      </w:pPr>
      <w:r>
        <w:rPr/>
        <w:t>16. Цены на сопутствующие услуги должны быть включены в цену Договора.</w:t>
      </w:r>
    </w:p>
    <w:p>
      <w:pPr>
        <w:pStyle w:val="TextBody"/>
        <w:rPr>
          <w:rFonts w:ascii="Times New Roman" w:hAnsi="Times New Roman"/>
          <w:sz w:val="24"/>
          <w:szCs w:val="24"/>
        </w:rPr>
      </w:pPr>
      <w:r>
        <w:rPr/>
        <w:t>17. 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pPr>
        <w:pStyle w:val="TextBody"/>
        <w:rPr>
          <w:rFonts w:ascii="Times New Roman" w:hAnsi="Times New Roman"/>
          <w:sz w:val="24"/>
          <w:szCs w:val="24"/>
        </w:rPr>
      </w:pPr>
      <w:r>
        <w:rPr/>
        <w:t>18. Поставщик, в случае прекращения производства им запасных частей, должен:</w:t>
      </w:r>
    </w:p>
    <w:p>
      <w:pPr>
        <w:pStyle w:val="TextBody"/>
        <w:rPr>
          <w:rFonts w:ascii="Times New Roman" w:hAnsi="Times New Roman"/>
          <w:sz w:val="24"/>
          <w:szCs w:val="24"/>
        </w:rPr>
      </w:pPr>
      <w:r>
        <w:rPr/>
        <w:t>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p>
      <w:pPr>
        <w:pStyle w:val="TextBody"/>
        <w:rPr>
          <w:rFonts w:ascii="Times New Roman" w:hAnsi="Times New Roman"/>
          <w:sz w:val="24"/>
          <w:szCs w:val="24"/>
        </w:rPr>
      </w:pPr>
      <w:r>
        <w:rPr/>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pPr>
        <w:pStyle w:val="TextBody"/>
        <w:rPr>
          <w:rFonts w:ascii="Times New Roman" w:hAnsi="Times New Roman"/>
          <w:sz w:val="24"/>
          <w:szCs w:val="24"/>
        </w:rPr>
      </w:pPr>
      <w:r>
        <w:rPr/>
        <w:t>19. 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w:t>
        <w:br/>
        <w:t>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p>
    <w:p>
      <w:pPr>
        <w:pStyle w:val="TextBody"/>
        <w:rPr>
          <w:rFonts w:ascii="Times New Roman" w:hAnsi="Times New Roman"/>
          <w:sz w:val="24"/>
          <w:szCs w:val="24"/>
        </w:rPr>
      </w:pPr>
      <w:r>
        <w:rPr/>
        <w:t>20. Эта гарантия действительна в течение _________________________________ дней после (указать требуемый срок гарантии) доставки всей партии товаров или ее части в зависимости от конкретного случая и их приемки на конечном пункте назначения, указанном в Договоре.</w:t>
      </w:r>
    </w:p>
    <w:p>
      <w:pPr>
        <w:pStyle w:val="TextBody"/>
        <w:rPr>
          <w:rFonts w:ascii="Times New Roman" w:hAnsi="Times New Roman"/>
          <w:sz w:val="24"/>
          <w:szCs w:val="24"/>
        </w:rPr>
      </w:pPr>
      <w:r>
        <w:rPr/>
        <w:t>21. Заказчик обязан оперативно уведомить Поставщика в письменном виде обо всех претензиях, связанных с данной гарантией.</w:t>
      </w:r>
    </w:p>
    <w:p>
      <w:pPr>
        <w:pStyle w:val="TextBody"/>
        <w:rPr>
          <w:rFonts w:ascii="Times New Roman" w:hAnsi="Times New Roman"/>
          <w:sz w:val="24"/>
          <w:szCs w:val="24"/>
        </w:rPr>
      </w:pPr>
      <w:r>
        <w:rPr/>
        <w:t>22. После получения уведомления о выходе товара из строя поставщик должен в срок не более 72 (семидесяти двух)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pPr>
        <w:pStyle w:val="TextBody"/>
        <w:rPr>
          <w:rFonts w:ascii="Times New Roman" w:hAnsi="Times New Roman"/>
          <w:sz w:val="24"/>
          <w:szCs w:val="24"/>
        </w:rPr>
      </w:pPr>
      <w:r>
        <w:rPr/>
        <w:t>23. 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pPr>
        <w:pStyle w:val="TextBody"/>
        <w:rPr>
          <w:rFonts w:ascii="Times New Roman" w:hAnsi="Times New Roman"/>
          <w:sz w:val="24"/>
          <w:szCs w:val="24"/>
        </w:rPr>
      </w:pPr>
      <w:r>
        <w:rPr/>
        <w:t>24. Оплата Поставщику за поставленные товары будет производиться в форме и в сроки, указанные в </w:t>
      </w:r>
      <w:r>
        <w:fldChar w:fldCharType="begin"/>
      </w:r>
      <w:r>
        <w:rPr>
          <w:rStyle w:val="InternetLink"/>
        </w:rPr>
        <w:instrText> HYPERLINK "http://adilet.zan.kz/rus/docs/V1700014715" \l "z131"</w:instrText>
      </w:r>
      <w:r>
        <w:rPr>
          <w:rStyle w:val="InternetLink"/>
        </w:rPr>
        <w:fldChar w:fldCharType="separate"/>
      </w:r>
      <w:r>
        <w:rPr>
          <w:rStyle w:val="InternetLink"/>
        </w:rPr>
        <w:t>пунктах 5</w:t>
      </w:r>
      <w:r>
        <w:rPr>
          <w:rStyle w:val="InternetLink"/>
        </w:rPr>
        <w:fldChar w:fldCharType="end"/>
      </w:r>
      <w:r>
        <w:rPr/>
        <w:t> и </w:t>
      </w:r>
      <w:r>
        <w:fldChar w:fldCharType="begin"/>
      </w:r>
      <w:r>
        <w:rPr>
          <w:rStyle w:val="InternetLink"/>
        </w:rPr>
        <w:instrText> HYPERLINK "http://adilet.zan.kz/rus/docs/V1700014715" \l "z132"</w:instrText>
      </w:r>
      <w:r>
        <w:rPr>
          <w:rStyle w:val="InternetLink"/>
        </w:rPr>
        <w:fldChar w:fldCharType="separate"/>
      </w:r>
      <w:r>
        <w:rPr>
          <w:rStyle w:val="InternetLink"/>
        </w:rPr>
        <w:t>6</w:t>
      </w:r>
      <w:r>
        <w:rPr>
          <w:rStyle w:val="InternetLink"/>
        </w:rPr>
        <w:fldChar w:fldCharType="end"/>
      </w:r>
      <w:r>
        <w:rPr/>
        <w:t> настоящего Договора.</w:t>
      </w:r>
    </w:p>
    <w:p>
      <w:pPr>
        <w:pStyle w:val="TextBody"/>
        <w:rPr>
          <w:rFonts w:ascii="Times New Roman" w:hAnsi="Times New Roman"/>
          <w:sz w:val="24"/>
          <w:szCs w:val="24"/>
        </w:rPr>
      </w:pPr>
      <w:r>
        <w:rPr/>
        <w:t>25. Цены, указанные Заказчиком в Договоре, должны соответствовать ценам, указанным Поставщиком в его тендерной заявке.</w:t>
      </w:r>
    </w:p>
    <w:p>
      <w:pPr>
        <w:pStyle w:val="TextBody"/>
        <w:rPr>
          <w:rFonts w:ascii="Times New Roman" w:hAnsi="Times New Roman"/>
          <w:sz w:val="24"/>
          <w:szCs w:val="24"/>
        </w:rPr>
      </w:pPr>
      <w:r>
        <w:rPr/>
        <w:t>26.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p>
    <w:p>
      <w:pPr>
        <w:pStyle w:val="TextBody"/>
        <w:rPr>
          <w:rFonts w:ascii="Times New Roman" w:hAnsi="Times New Roman"/>
          <w:sz w:val="24"/>
          <w:szCs w:val="24"/>
        </w:rPr>
      </w:pPr>
      <w:r>
        <w:rPr/>
        <w:t>27.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pPr>
        <w:pStyle w:val="TextBody"/>
        <w:rPr>
          <w:rFonts w:ascii="Times New Roman" w:hAnsi="Times New Roman"/>
          <w:sz w:val="24"/>
          <w:szCs w:val="24"/>
        </w:rPr>
      </w:pPr>
      <w:r>
        <w:rPr/>
        <w:t>28.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pPr>
        <w:pStyle w:val="TextBody"/>
        <w:rPr>
          <w:rFonts w:ascii="Times New Roman" w:hAnsi="Times New Roman"/>
          <w:sz w:val="24"/>
          <w:szCs w:val="24"/>
        </w:rPr>
      </w:pPr>
      <w:r>
        <w:rPr/>
        <w:t>29. Поставка товаров и предоставление услуг должны осуществляться Поставщиком в соответствии с графиком, указанным в таблице цен.</w:t>
      </w:r>
    </w:p>
    <w:p>
      <w:pPr>
        <w:pStyle w:val="TextBody"/>
        <w:rPr>
          <w:rFonts w:ascii="Times New Roman" w:hAnsi="Times New Roman"/>
          <w:sz w:val="24"/>
          <w:szCs w:val="24"/>
        </w:rPr>
      </w:pPr>
      <w:r>
        <w:rPr/>
        <w:t>30. Задержка с выполнением поставки со стороны поставщика приводит к удержанию обеспечения исполнения договора и выплате неустойки.</w:t>
      </w:r>
    </w:p>
    <w:p>
      <w:pPr>
        <w:pStyle w:val="TextBody"/>
        <w:rPr>
          <w:rFonts w:ascii="Times New Roman" w:hAnsi="Times New Roman"/>
          <w:sz w:val="24"/>
          <w:szCs w:val="24"/>
        </w:rPr>
      </w:pPr>
      <w:r>
        <w:rPr/>
        <w:t>31.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p>
    <w:p>
      <w:pPr>
        <w:pStyle w:val="TextBody"/>
        <w:rPr>
          <w:rFonts w:ascii="Times New Roman" w:hAnsi="Times New Roman"/>
          <w:sz w:val="24"/>
          <w:szCs w:val="24"/>
        </w:rPr>
      </w:pPr>
      <w:r>
        <w:rPr/>
        <w:t>32.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p>
    <w:p>
      <w:pPr>
        <w:pStyle w:val="TextBody"/>
        <w:rPr>
          <w:rFonts w:ascii="Times New Roman" w:hAnsi="Times New Roman"/>
          <w:sz w:val="24"/>
          <w:szCs w:val="24"/>
        </w:rPr>
      </w:pPr>
      <w:r>
        <w:rPr/>
        <w:t>33.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 34. 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p>
    <w:p>
      <w:pPr>
        <w:pStyle w:val="TextBody"/>
        <w:rPr>
          <w:rFonts w:ascii="Times New Roman" w:hAnsi="Times New Roman"/>
          <w:sz w:val="24"/>
          <w:szCs w:val="24"/>
        </w:rPr>
      </w:pPr>
      <w:r>
        <w:rPr/>
        <w:t>35.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p>
      <w:pPr>
        <w:pStyle w:val="TextBody"/>
        <w:rPr>
          <w:rFonts w:ascii="Times New Roman" w:hAnsi="Times New Roman"/>
          <w:sz w:val="24"/>
          <w:szCs w:val="24"/>
        </w:rPr>
      </w:pPr>
      <w:r>
        <w:rPr/>
        <w:t>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pPr>
        <w:pStyle w:val="TextBody"/>
        <w:rPr>
          <w:rFonts w:ascii="Times New Roman" w:hAnsi="Times New Roman"/>
          <w:sz w:val="24"/>
          <w:szCs w:val="24"/>
        </w:rPr>
      </w:pPr>
      <w:r>
        <w:rPr/>
        <w:t>37.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pPr>
        <w:pStyle w:val="TextBody"/>
        <w:rPr>
          <w:rFonts w:ascii="Times New Roman" w:hAnsi="Times New Roman"/>
          <w:sz w:val="24"/>
          <w:szCs w:val="24"/>
        </w:rPr>
      </w:pPr>
      <w:r>
        <w:rPr/>
        <w:t>38.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pPr>
        <w:pStyle w:val="TextBody"/>
        <w:rPr>
          <w:rFonts w:ascii="Times New Roman" w:hAnsi="Times New Roman"/>
          <w:sz w:val="24"/>
          <w:szCs w:val="24"/>
        </w:rPr>
      </w:pPr>
      <w:r>
        <w:rPr/>
        <w:t>39. 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pPr>
        <w:pStyle w:val="TextBody"/>
        <w:rPr>
          <w:rFonts w:ascii="Times New Roman" w:hAnsi="Times New Roman"/>
          <w:sz w:val="24"/>
          <w:szCs w:val="24"/>
        </w:rPr>
      </w:pPr>
      <w:r>
        <w:rPr/>
        <w:t>40. Договор составляется на государственном и/или русском языках. В случае,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p>
    <w:p>
      <w:pPr>
        <w:pStyle w:val="TextBody"/>
        <w:rPr>
          <w:rFonts w:ascii="Times New Roman" w:hAnsi="Times New Roman"/>
          <w:sz w:val="24"/>
          <w:szCs w:val="24"/>
        </w:rPr>
      </w:pPr>
      <w:r>
        <w:rPr/>
        <w:t>41.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pPr>
        <w:pStyle w:val="TextBody"/>
        <w:rPr>
          <w:rFonts w:ascii="Times New Roman" w:hAnsi="Times New Roman"/>
          <w:sz w:val="24"/>
          <w:szCs w:val="24"/>
        </w:rPr>
      </w:pPr>
      <w:r>
        <w:rPr/>
        <w:t>42.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pPr>
        <w:pStyle w:val="TextBody"/>
        <w:rPr>
          <w:rFonts w:ascii="Times New Roman" w:hAnsi="Times New Roman"/>
          <w:sz w:val="24"/>
          <w:szCs w:val="24"/>
        </w:rPr>
      </w:pPr>
      <w:r>
        <w:rPr/>
        <w:t>43. Налоги и другие обязательные платежи в бюджет подлежат уплате в соответствии с налоговым законодательством Республики Казахстан.</w:t>
      </w:r>
    </w:p>
    <w:p>
      <w:pPr>
        <w:pStyle w:val="TextBody"/>
        <w:rPr>
          <w:rFonts w:ascii="Times New Roman" w:hAnsi="Times New Roman"/>
          <w:sz w:val="24"/>
          <w:szCs w:val="24"/>
        </w:rPr>
      </w:pPr>
      <w:r>
        <w:rPr/>
        <w:t>44. Поставщик обязан внести обеспечение исполнения Договора в форме, объеме и на условиях, предусмотренных в тендерной документации.</w:t>
      </w:r>
    </w:p>
    <w:p>
      <w:pPr>
        <w:pStyle w:val="TextBody"/>
        <w:rPr>
          <w:rFonts w:ascii="Times New Roman" w:hAnsi="Times New Roman"/>
          <w:sz w:val="24"/>
          <w:szCs w:val="24"/>
        </w:rPr>
      </w:pPr>
      <w:r>
        <w:rPr/>
        <w:t>45.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(для государственных органов и государственных учреждений) либо после подписания Сторонами и внесения Поставщиком обеспечения исполнения Договора.</w:t>
      </w:r>
    </w:p>
    <w:p>
      <w:pPr>
        <w:pStyle w:val="TextBody"/>
        <w:rPr>
          <w:rFonts w:ascii="Times New Roman" w:hAnsi="Times New Roman"/>
          <w:sz w:val="24"/>
          <w:szCs w:val="24"/>
        </w:rPr>
      </w:pPr>
      <w:r>
        <w:rPr/>
        <w:t>46. Адреса и реквизиты Сторон:</w:t>
      </w:r>
    </w:p>
    <w:p>
      <w:pPr>
        <w:pStyle w:val="TextBody"/>
        <w:rPr>
          <w:rFonts w:ascii="Times New Roman" w:hAnsi="Times New Roman"/>
          <w:sz w:val="24"/>
          <w:szCs w:val="24"/>
        </w:rPr>
      </w:pPr>
      <w:r>
        <w:rPr/>
        <w:t>Дата регистрации в территориальном органе казначейства (для государственных органов и государственных учреждений): ________________.</w:t>
      </w:r>
    </w:p>
    <w:p>
      <w:pPr>
        <w:pStyle w:val="TextBody"/>
        <w:rPr>
          <w:rFonts w:ascii="Times New Roman" w:hAnsi="Times New Roman"/>
          <w:sz w:val="24"/>
          <w:szCs w:val="24"/>
        </w:rPr>
      </w:pPr>
      <w:r>
        <w:rPr/>
        <w:t>Настоящий Типовой договор закупа товара регулирует правоотношения, возникающие между Заказчиком и Поставщиком в процессе осуществления Заказчиком закупа лекарственных средств, изделий медицинского назначения и медицинской техники. Любые вносимые в настоящий Договор изменения и дополнения должны соответствовать законодательству Республики Казахстан, тендерной документации Заказчика, тендерной заявке Поставщика и протоколу об итогах тендера.</w:t>
      </w:r>
    </w:p>
    <w:p>
      <w:pPr>
        <w:pStyle w:val="TextBody"/>
        <w:rPr>
          <w:rFonts w:ascii="Times New Roman" w:hAnsi="Times New Roman"/>
          <w:sz w:val="24"/>
          <w:szCs w:val="24"/>
        </w:rPr>
      </w:pPr>
      <w:r>
        <w:rPr/>
        <w:t xml:space="preserve">Приложение №1  </w:t>
      </w:r>
    </w:p>
    <w:p>
      <w:pPr>
        <w:pStyle w:val="TextBody"/>
        <w:rPr>
          <w:rFonts w:ascii="Times New Roman" w:hAnsi="Times New Roman"/>
          <w:sz w:val="24"/>
          <w:szCs w:val="24"/>
        </w:rPr>
      </w:pPr>
      <w:r>
        <w:rPr/>
        <w:t>Спецификация к Договору  № ____  от  ______________ 2017 год.</w:t>
      </w:r>
    </w:p>
    <w:p>
      <w:pPr>
        <w:pStyle w:val="Normal"/>
        <w:jc w:val="center"/>
        <w:rPr>
          <w:rFonts w:ascii="Times New Roman" w:hAnsi="Times New Roman"/>
          <w:b/>
          <w:b/>
          <w:sz w:val="24"/>
          <w:szCs w:val="24"/>
        </w:rPr>
      </w:pPr>
      <w:r>
        <w:rPr>
          <w:b/>
          <w:sz w:val="24"/>
          <w:szCs w:val="24"/>
        </w:rPr>
      </w:r>
    </w:p>
    <w:tbl>
      <w:tblPr>
        <w:tblW w:w="5000" w:type="pct"/>
        <w:jc w:val="left"/>
        <w:tblInd w:w="108" w:type="dxa"/>
        <w:tblLayout w:type="fixed"/>
        <w:tblCellMar>
          <w:top w:w="0" w:type="dxa"/>
          <w:left w:w="108" w:type="dxa"/>
          <w:bottom w:w="0" w:type="dxa"/>
          <w:right w:w="108" w:type="dxa"/>
        </w:tblCellMar>
        <w:tblLook w:firstRow="1" w:noVBand="1" w:lastRow="0" w:firstColumn="1" w:lastColumn="0" w:noHBand="0" w:val="04a0"/>
      </w:tblPr>
      <w:tblGrid>
        <w:gridCol w:w="633"/>
        <w:gridCol w:w="1655"/>
        <w:gridCol w:w="3826"/>
        <w:gridCol w:w="1017"/>
        <w:gridCol w:w="893"/>
        <w:gridCol w:w="763"/>
        <w:gridCol w:w="850"/>
      </w:tblGrid>
      <w:tr>
        <w:trPr>
          <w:trHeight w:val="86" w:hRule="atLeast"/>
        </w:trPr>
        <w:tc>
          <w:tcPr>
            <w:tcW w:w="63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before="0" w:after="0"/>
              <w:ind w:left="0" w:right="0" w:hanging="0"/>
              <w:rPr>
                <w:rFonts w:ascii="Times New Roman" w:hAnsi="Times New Roman"/>
                <w:sz w:val="24"/>
                <w:szCs w:val="24"/>
              </w:rPr>
            </w:pPr>
            <w:r>
              <w:rPr/>
              <w:t xml:space="preserve">№ </w:t>
            </w:r>
            <w:r>
              <w:rPr/>
              <w:t>п/п</w:t>
            </w:r>
          </w:p>
        </w:tc>
        <w:tc>
          <w:tcPr>
            <w:tcW w:w="165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before="0" w:after="0"/>
              <w:ind w:left="0" w:right="0" w:hanging="0"/>
              <w:rPr>
                <w:rFonts w:ascii="Times New Roman" w:hAnsi="Times New Roman"/>
                <w:sz w:val="24"/>
                <w:szCs w:val="24"/>
              </w:rPr>
            </w:pPr>
            <w:r>
              <w:rPr/>
              <w:t>Наименование товара</w:t>
            </w:r>
          </w:p>
        </w:tc>
        <w:tc>
          <w:tcPr>
            <w:tcW w:w="3826" w:type="dxa"/>
            <w:tcBorders>
              <w:top w:val="single" w:sz="4" w:space="0" w:color="000000"/>
              <w:left w:val="single" w:sz="4" w:space="0" w:color="000000"/>
              <w:bottom w:val="single" w:sz="2" w:space="0" w:color="000000"/>
              <w:right w:val="single" w:sz="4" w:space="0" w:color="000000"/>
            </w:tcBorders>
            <w:shd w:fill="auto" w:val="clear"/>
            <w:vAlign w:val="center"/>
          </w:tcPr>
          <w:p>
            <w:pPr>
              <w:pStyle w:val="Normal"/>
              <w:widowControl w:val="false"/>
              <w:spacing w:before="0" w:after="0"/>
              <w:ind w:left="0" w:right="0" w:hanging="0"/>
              <w:rPr>
                <w:rFonts w:ascii="Times New Roman" w:hAnsi="Times New Roman"/>
                <w:sz w:val="24"/>
                <w:szCs w:val="24"/>
              </w:rPr>
            </w:pPr>
            <w:r>
              <w:rPr/>
              <w:t>Характеристика</w:t>
            </w:r>
          </w:p>
        </w:tc>
        <w:tc>
          <w:tcPr>
            <w:tcW w:w="101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before="0" w:after="0"/>
              <w:ind w:left="0" w:right="0" w:hanging="0"/>
              <w:rPr>
                <w:rFonts w:ascii="Times New Roman" w:hAnsi="Times New Roman"/>
                <w:sz w:val="24"/>
                <w:szCs w:val="24"/>
              </w:rPr>
            </w:pPr>
            <w:r>
              <w:rPr/>
              <w:t>Ед. изм.</w:t>
            </w:r>
          </w:p>
        </w:tc>
        <w:tc>
          <w:tcPr>
            <w:tcW w:w="89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before="0" w:after="0"/>
              <w:ind w:left="0" w:right="0" w:hanging="0"/>
              <w:rPr>
                <w:rFonts w:ascii="Times New Roman" w:hAnsi="Times New Roman"/>
                <w:sz w:val="24"/>
                <w:szCs w:val="24"/>
              </w:rPr>
            </w:pPr>
            <w:r>
              <w:rPr/>
              <w:t>Кол-во</w:t>
            </w:r>
          </w:p>
        </w:tc>
        <w:tc>
          <w:tcPr>
            <w:tcW w:w="76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before="0" w:after="0"/>
              <w:ind w:left="0" w:right="0" w:hanging="0"/>
              <w:rPr>
                <w:rFonts w:ascii="Times New Roman" w:hAnsi="Times New Roman"/>
                <w:sz w:val="24"/>
                <w:szCs w:val="24"/>
              </w:rPr>
            </w:pPr>
            <w:r>
              <w:rPr/>
              <w:t>Цена</w:t>
            </w:r>
          </w:p>
        </w:tc>
        <w:tc>
          <w:tcPr>
            <w:tcW w:w="85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widowControl w:val="false"/>
              <w:spacing w:before="0" w:after="0"/>
              <w:ind w:left="0" w:right="0" w:hanging="0"/>
              <w:rPr>
                <w:rFonts w:ascii="Times New Roman" w:hAnsi="Times New Roman"/>
                <w:sz w:val="24"/>
                <w:szCs w:val="24"/>
              </w:rPr>
            </w:pPr>
            <w:r>
              <w:rPr/>
              <w:t>Сумма</w:t>
            </w:r>
          </w:p>
        </w:tc>
      </w:tr>
    </w:tbl>
    <w:p>
      <w:pPr>
        <w:pStyle w:val="NormalWeb"/>
        <w:spacing w:beforeAutospacing="0" w:before="0" w:afterAutospacing="0" w:after="0"/>
        <w:rPr>
          <w:rFonts w:ascii="Times New Roman" w:hAnsi="Times New Roman"/>
          <w:sz w:val="24"/>
          <w:szCs w:val="24"/>
        </w:rPr>
      </w:pPr>
      <w:r>
        <w:rPr>
          <w:sz w:val="24"/>
          <w:szCs w:val="24"/>
        </w:rPr>
      </w:r>
    </w:p>
    <w:p>
      <w:pPr>
        <w:pStyle w:val="NormalWeb"/>
        <w:spacing w:beforeAutospacing="0" w:before="0" w:afterAutospacing="0" w:after="0"/>
        <w:rPr>
          <w:rFonts w:ascii="Times New Roman" w:hAnsi="Times New Roman"/>
          <w:sz w:val="24"/>
          <w:szCs w:val="24"/>
        </w:rPr>
      </w:pPr>
      <w:r>
        <w:rPr>
          <w:sz w:val="24"/>
          <w:szCs w:val="24"/>
        </w:rPr>
      </w:r>
    </w:p>
    <w:p>
      <w:pPr>
        <w:pStyle w:val="NormalWeb"/>
        <w:spacing w:beforeAutospacing="0" w:before="0" w:afterAutospacing="0" w:after="0"/>
        <w:rPr>
          <w:rFonts w:ascii="Times New Roman" w:hAnsi="Times New Roman"/>
          <w:sz w:val="24"/>
          <w:szCs w:val="24"/>
        </w:rPr>
      </w:pPr>
      <w:r>
        <w:rPr>
          <w:sz w:val="24"/>
          <w:szCs w:val="24"/>
        </w:rPr>
      </w:r>
    </w:p>
    <w:tbl>
      <w:tblPr>
        <w:tblW w:w="9571" w:type="dxa"/>
        <w:jc w:val="left"/>
        <w:tblInd w:w="-109" w:type="dxa"/>
        <w:tblLayout w:type="fixed"/>
        <w:tblCellMar>
          <w:top w:w="0" w:type="dxa"/>
          <w:left w:w="108" w:type="dxa"/>
          <w:bottom w:w="0" w:type="dxa"/>
          <w:right w:w="108" w:type="dxa"/>
        </w:tblCellMar>
        <w:tblLook w:firstRow="1" w:noVBand="0" w:lastRow="1" w:firstColumn="1" w:lastColumn="1" w:noHBand="0" w:val="01e0"/>
      </w:tblPr>
      <w:tblGrid>
        <w:gridCol w:w="4785"/>
        <w:gridCol w:w="4785"/>
      </w:tblGrid>
      <w:tr>
        <w:trPr/>
        <w:tc>
          <w:tcPr>
            <w:tcW w:w="4785" w:type="dxa"/>
            <w:tcBorders/>
            <w:shd w:fill="auto" w:val="clear"/>
          </w:tcPr>
          <w:p>
            <w:pPr>
              <w:pStyle w:val="Subtitle"/>
              <w:widowControl w:val="false"/>
              <w:jc w:val="both"/>
              <w:rPr>
                <w:rFonts w:ascii="Times New Roman" w:hAnsi="Times New Roman"/>
                <w:sz w:val="24"/>
                <w:szCs w:val="24"/>
              </w:rPr>
            </w:pPr>
            <w:r>
              <w:rPr>
                <w:rFonts w:ascii="Times New Roman" w:hAnsi="Times New Roman"/>
                <w:caps w:val="false"/>
                <w:smallCaps w:val="false"/>
                <w:sz w:val="24"/>
                <w:szCs w:val="24"/>
              </w:rPr>
              <w:t>«Заказчик»</w:t>
            </w:r>
          </w:p>
          <w:p>
            <w:pPr>
              <w:pStyle w:val="Subtitle"/>
              <w:widowControl w:val="false"/>
              <w:jc w:val="both"/>
              <w:rPr>
                <w:rFonts w:ascii="Times New Roman" w:hAnsi="Times New Roman"/>
                <w:caps w:val="false"/>
                <w:smallCaps w:val="false"/>
                <w:sz w:val="24"/>
                <w:szCs w:val="24"/>
              </w:rPr>
            </w:pPr>
            <w:r>
              <w:rPr>
                <w:rFonts w:ascii="Times New Roman" w:hAnsi="Times New Roman"/>
                <w:caps w:val="false"/>
                <w:smallCaps w:val="false"/>
                <w:sz w:val="24"/>
                <w:szCs w:val="24"/>
              </w:rPr>
            </w:r>
          </w:p>
          <w:p>
            <w:pPr>
              <w:pStyle w:val="Subtitle"/>
              <w:widowControl w:val="false"/>
              <w:jc w:val="both"/>
              <w:rPr>
                <w:caps w:val="false"/>
                <w:smallCaps w:val="false"/>
              </w:rPr>
            </w:pPr>
            <w:r>
              <w:rPr>
                <w:caps w:val="false"/>
                <w:smallCaps w:val="false"/>
              </w:rPr>
            </w:r>
          </w:p>
          <w:p>
            <w:pPr>
              <w:pStyle w:val="Subtitle"/>
              <w:widowControl w:val="false"/>
              <w:spacing w:before="0" w:after="57"/>
              <w:jc w:val="both"/>
              <w:rPr>
                <w:rFonts w:ascii="Times New Roman" w:hAnsi="Times New Roman"/>
                <w:b w:val="false"/>
                <w:b w:val="false"/>
                <w:caps w:val="false"/>
                <w:smallCaps w:val="false"/>
                <w:sz w:val="24"/>
                <w:szCs w:val="24"/>
              </w:rPr>
            </w:pPr>
            <w:r>
              <w:rPr>
                <w:rFonts w:ascii="Times New Roman" w:hAnsi="Times New Roman"/>
                <w:b w:val="false"/>
                <w:caps w:val="false"/>
                <w:smallCaps w:val="false"/>
                <w:sz w:val="24"/>
                <w:szCs w:val="24"/>
              </w:rPr>
            </w:r>
          </w:p>
        </w:tc>
        <w:tc>
          <w:tcPr>
            <w:tcW w:w="4785" w:type="dxa"/>
            <w:tcBorders/>
            <w:shd w:fill="auto" w:val="clear"/>
          </w:tcPr>
          <w:p>
            <w:pPr>
              <w:pStyle w:val="Normal"/>
              <w:widowControl w:val="false"/>
              <w:spacing w:before="0" w:after="57"/>
              <w:rPr>
                <w:rFonts w:ascii="Times New Roman" w:hAnsi="Times New Roman"/>
                <w:sz w:val="24"/>
                <w:szCs w:val="24"/>
              </w:rPr>
            </w:pPr>
            <w:r>
              <w:rPr>
                <w:b/>
                <w:sz w:val="24"/>
                <w:szCs w:val="24"/>
              </w:rPr>
              <w:t xml:space="preserve">               </w:t>
            </w:r>
            <w:r>
              <w:rPr>
                <w:b/>
                <w:sz w:val="24"/>
                <w:szCs w:val="24"/>
              </w:rPr>
              <w:t>«Поставщик»</w:t>
            </w:r>
          </w:p>
        </w:tc>
      </w:tr>
    </w:tbl>
    <w:p>
      <w:pPr>
        <w:pStyle w:val="Normal"/>
        <w:widowControl/>
        <w:spacing w:before="28" w:after="28"/>
        <w:ind w:left="0" w:right="0" w:firstLine="708"/>
        <w:jc w:val="both"/>
        <w:rPr>
          <w:rFonts w:ascii="Times New Roman" w:hAnsi="Times New Roman"/>
          <w:sz w:val="24"/>
          <w:szCs w:val="24"/>
        </w:rPr>
      </w:pPr>
      <w:r>
        <w:rPr>
          <w:sz w:val="24"/>
          <w:szCs w:val="24"/>
        </w:rPr>
      </w:r>
      <w:r>
        <w:br w:type="page"/>
      </w:r>
    </w:p>
    <w:p>
      <w:pPr>
        <w:pStyle w:val="Heading3"/>
        <w:spacing w:before="280" w:after="280"/>
        <w:rPr>
          <w:rFonts w:ascii="Times New Roman" w:hAnsi="Times New Roman"/>
          <w:sz w:val="24"/>
          <w:szCs w:val="24"/>
        </w:rPr>
      </w:pPr>
      <w:bookmarkStart w:id="128" w:name="__RefHeading___Toc3442_223126817"/>
      <w:bookmarkEnd w:id="128"/>
      <w:r>
        <w:rPr/>
        <w:t>Содержание</w:t>
      </w:r>
    </w:p>
    <w:sdt>
      <w:sdtPr>
        <w:docPartObj>
          <w:docPartGallery w:val="Table of Contents"/>
          <w:docPartUnique w:val="true"/>
        </w:docPartObj>
      </w:sdtPr>
      <w:sdtContent>
        <w:p>
          <w:pPr>
            <w:pStyle w:val="Contents1"/>
            <w:rPr/>
          </w:pPr>
          <w:r>
            <w:fldChar w:fldCharType="begin"/>
          </w:r>
          <w:r>
            <w:rPr>
              <w:rStyle w:val="IndexLink"/>
            </w:rPr>
            <w:instrText> TOC \f \o "1-9" \h</w:instrText>
          </w:r>
          <w:r>
            <w:rPr>
              <w:rStyle w:val="IndexLink"/>
            </w:rPr>
            <w:fldChar w:fldCharType="separate"/>
          </w:r>
          <w:hyperlink w:anchor="__RefHeading___Toc1835_2535700000">
            <w:r>
              <w:rPr>
                <w:rStyle w:val="IndexLink"/>
              </w:rPr>
              <w:t>ТЕНДЕРНАЯ ДОКУМЕНТАЦИЯ, предоставляемая организатором тендера потенциальным поставщикам по подготовке тендерных заявок и участия в тендере по закупу медицинского оборудования для родильного отделения</w:t>
              <w:tab/>
              <w:t>1</w:t>
            </w:r>
          </w:hyperlink>
        </w:p>
        <w:p>
          <w:pPr>
            <w:pStyle w:val="Contents3"/>
            <w:tabs>
              <w:tab w:val="clear" w:pos="9072"/>
              <w:tab w:val="right" w:pos="9638" w:leader="dot"/>
            </w:tabs>
            <w:rPr/>
          </w:pPr>
          <w:hyperlink w:anchor="__RefHeading___Toc11164_3712210509">
            <w:r>
              <w:rPr>
                <w:rStyle w:val="IndexLink"/>
              </w:rPr>
              <w:t>1. Предмет тендера</w:t>
              <w:tab/>
              <w:t>1</w:t>
            </w:r>
          </w:hyperlink>
        </w:p>
        <w:p>
          <w:pPr>
            <w:pStyle w:val="Contents3"/>
            <w:tabs>
              <w:tab w:val="clear" w:pos="9072"/>
              <w:tab w:val="right" w:pos="9638" w:leader="dot"/>
            </w:tabs>
            <w:rPr/>
          </w:pPr>
          <w:hyperlink w:anchor="__RefHeading___Toc1839_2535700000">
            <w:r>
              <w:rPr>
                <w:rStyle w:val="IndexLink"/>
              </w:rPr>
              <w:t>2. Содержание тендерной документации</w:t>
              <w:tab/>
              <w:t>1</w:t>
            </w:r>
          </w:hyperlink>
        </w:p>
        <w:p>
          <w:pPr>
            <w:pStyle w:val="Contents3"/>
            <w:tabs>
              <w:tab w:val="clear" w:pos="9072"/>
              <w:tab w:val="right" w:pos="9638" w:leader="dot"/>
            </w:tabs>
            <w:rPr/>
          </w:pPr>
          <w:hyperlink w:anchor="__RefHeading___Toc1841_2535700000">
            <w:r>
              <w:rPr>
                <w:rStyle w:val="IndexLink"/>
              </w:rPr>
              <w:t>3. Квалификационные требования, предъявляемые к потенциальному поставщику</w:t>
              <w:tab/>
              <w:t>2</w:t>
            </w:r>
          </w:hyperlink>
        </w:p>
        <w:p>
          <w:pPr>
            <w:pStyle w:val="Contents3"/>
            <w:tabs>
              <w:tab w:val="clear" w:pos="9072"/>
              <w:tab w:val="right" w:pos="9638" w:leader="dot"/>
            </w:tabs>
            <w:rPr/>
          </w:pPr>
          <w:hyperlink w:anchor="__RefHeading___Toc3445_223126817">
            <w:r>
              <w:rPr>
                <w:rStyle w:val="IndexLink"/>
              </w:rPr>
              <w:t>4. Требования к товарам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w:t>
              <w:tab/>
              <w:t>3</w:t>
            </w:r>
          </w:hyperlink>
        </w:p>
        <w:p>
          <w:pPr>
            <w:pStyle w:val="Contents3"/>
            <w:tabs>
              <w:tab w:val="clear" w:pos="9072"/>
              <w:tab w:val="right" w:pos="9638" w:leader="dot"/>
            </w:tabs>
            <w:rPr/>
          </w:pPr>
          <w:hyperlink w:anchor="__RefHeading___Toc9953_2535700000">
            <w:r>
              <w:rPr>
                <w:rStyle w:val="IndexLink"/>
              </w:rPr>
              <w:t>5. Язык тендерной документации</w:t>
              <w:tab/>
              <w:t>4</w:t>
            </w:r>
          </w:hyperlink>
        </w:p>
        <w:p>
          <w:pPr>
            <w:pStyle w:val="Contents3"/>
            <w:tabs>
              <w:tab w:val="clear" w:pos="9072"/>
              <w:tab w:val="right" w:pos="9638" w:leader="dot"/>
            </w:tabs>
            <w:rPr/>
          </w:pPr>
          <w:hyperlink w:anchor="__RefHeading___Toc1843_2535700000">
            <w:r>
              <w:rPr>
                <w:rStyle w:val="IndexLink"/>
              </w:rPr>
              <w:t>6. Требования к оформлению тендерной заявки</w:t>
              <w:tab/>
              <w:t>4</w:t>
            </w:r>
          </w:hyperlink>
        </w:p>
        <w:p>
          <w:pPr>
            <w:pStyle w:val="Contents3"/>
            <w:tabs>
              <w:tab w:val="clear" w:pos="9072"/>
              <w:tab w:val="right" w:pos="9638" w:leader="dot"/>
            </w:tabs>
            <w:rPr/>
          </w:pPr>
          <w:hyperlink w:anchor="__RefHeading___Toc9955_2535700000">
            <w:r>
              <w:rPr>
                <w:rStyle w:val="IndexLink"/>
              </w:rPr>
              <w:t>7. Разъяснение организатором тендера положений тендерной документации потенциальным поставщикам, получившим ее копию</w:t>
              <w:tab/>
              <w:t>6</w:t>
            </w:r>
          </w:hyperlink>
        </w:p>
        <w:p>
          <w:pPr>
            <w:pStyle w:val="Contents3"/>
            <w:tabs>
              <w:tab w:val="clear" w:pos="9072"/>
              <w:tab w:val="right" w:pos="9638" w:leader="dot"/>
            </w:tabs>
            <w:rPr/>
          </w:pPr>
          <w:hyperlink w:anchor="__RefHeading___Toc9957_2535700000">
            <w:r>
              <w:rPr>
                <w:rStyle w:val="IndexLink"/>
              </w:rPr>
              <w:t>8. Порядок, форму и сроки внесения гарантийного обеспечения тендерной заявки</w:t>
              <w:tab/>
              <w:t>7</w:t>
            </w:r>
          </w:hyperlink>
        </w:p>
        <w:p>
          <w:pPr>
            <w:pStyle w:val="Contents3"/>
            <w:tabs>
              <w:tab w:val="clear" w:pos="9072"/>
              <w:tab w:val="right" w:pos="9638" w:leader="dot"/>
            </w:tabs>
            <w:rPr/>
          </w:pPr>
          <w:hyperlink w:anchor="__RefHeading___Toc1845_2535700000">
            <w:r>
              <w:rPr>
                <w:rStyle w:val="IndexLink"/>
              </w:rPr>
              <w:t>9. Вскрытие конвертов с тендерными заявками</w:t>
              <w:tab/>
              <w:t>8</w:t>
            </w:r>
          </w:hyperlink>
        </w:p>
        <w:p>
          <w:pPr>
            <w:pStyle w:val="Contents3"/>
            <w:tabs>
              <w:tab w:val="clear" w:pos="9072"/>
              <w:tab w:val="right" w:pos="9638" w:leader="dot"/>
            </w:tabs>
            <w:rPr/>
          </w:pPr>
          <w:hyperlink w:anchor="__RefHeading___Toc9959_2535700000">
            <w:r>
              <w:rPr>
                <w:rStyle w:val="IndexLink"/>
              </w:rPr>
              <w:t>10. Порядок условия платежа</w:t>
              <w:tab/>
              <w:t>8</w:t>
            </w:r>
          </w:hyperlink>
        </w:p>
        <w:p>
          <w:pPr>
            <w:pStyle w:val="Contents3"/>
            <w:tabs>
              <w:tab w:val="clear" w:pos="9072"/>
              <w:tab w:val="right" w:pos="9638" w:leader="dot"/>
            </w:tabs>
            <w:rPr/>
          </w:pPr>
          <w:hyperlink w:anchor="__RefHeading___Toc1847_2535700000">
            <w:r>
              <w:rPr>
                <w:rStyle w:val="IndexLink"/>
              </w:rPr>
              <w:t>11. Валюта тендерной заявки и платежа</w:t>
              <w:tab/>
              <w:t>9</w:t>
            </w:r>
          </w:hyperlink>
        </w:p>
        <w:p>
          <w:pPr>
            <w:pStyle w:val="Contents3"/>
            <w:tabs>
              <w:tab w:val="clear" w:pos="9072"/>
              <w:tab w:val="right" w:pos="9638" w:leader="dot"/>
            </w:tabs>
            <w:rPr/>
          </w:pPr>
          <w:hyperlink w:anchor="__RefHeading___Toc1849_2535700000">
            <w:r>
              <w:rPr>
                <w:rStyle w:val="IndexLink"/>
              </w:rPr>
              <w:t>12. Оценка и сопоставление тендерных заявок</w:t>
              <w:tab/>
              <w:t>9</w:t>
            </w:r>
          </w:hyperlink>
        </w:p>
        <w:p>
          <w:pPr>
            <w:pStyle w:val="Contents3"/>
            <w:tabs>
              <w:tab w:val="clear" w:pos="9072"/>
              <w:tab w:val="right" w:pos="9638" w:leader="dot"/>
            </w:tabs>
            <w:rPr/>
          </w:pPr>
          <w:hyperlink w:anchor="__RefHeading___Toc1851_2535700000">
            <w:r>
              <w:rPr>
                <w:rStyle w:val="IndexLink"/>
              </w:rPr>
              <w:t>13. Подведение итогов тендера.</w:t>
              <w:tab/>
              <w:t>11</w:t>
            </w:r>
          </w:hyperlink>
        </w:p>
        <w:p>
          <w:pPr>
            <w:pStyle w:val="Contents3"/>
            <w:tabs>
              <w:tab w:val="clear" w:pos="9072"/>
              <w:tab w:val="right" w:pos="9638" w:leader="dot"/>
            </w:tabs>
            <w:rPr/>
          </w:pPr>
          <w:hyperlink w:anchor="__RefHeading___Toc1853_2535700000">
            <w:r>
              <w:rPr>
                <w:rStyle w:val="IndexLink"/>
              </w:rPr>
              <w:t>14. Заключение договора закупа</w:t>
              <w:tab/>
              <w:t>12</w:t>
            </w:r>
          </w:hyperlink>
        </w:p>
        <w:p>
          <w:pPr>
            <w:pStyle w:val="Contents3"/>
            <w:tabs>
              <w:tab w:val="clear" w:pos="9072"/>
              <w:tab w:val="right" w:pos="9638" w:leader="dot"/>
            </w:tabs>
            <w:rPr/>
          </w:pPr>
          <w:hyperlink w:anchor="__RefHeading___Toc1855_2535700000">
            <w:r>
              <w:rPr>
                <w:rStyle w:val="IndexLink"/>
              </w:rPr>
              <w:t>15. Гарантийное обеспечение исполнения договора</w:t>
              <w:tab/>
              <w:t>13</w:t>
            </w:r>
          </w:hyperlink>
        </w:p>
        <w:p>
          <w:pPr>
            <w:pStyle w:val="Contents3"/>
            <w:tabs>
              <w:tab w:val="clear" w:pos="9072"/>
              <w:tab w:val="right" w:pos="9638" w:leader="dot"/>
            </w:tabs>
            <w:rPr/>
          </w:pPr>
          <w:hyperlink w:anchor="__RefHeading___Toc1857_2535700000">
            <w:r>
              <w:rPr>
                <w:rStyle w:val="IndexLink"/>
              </w:rPr>
              <w:t>16. Поддержка отечественного товаропроизводителя</w:t>
              <w:tab/>
              <w:t>13</w:t>
            </w:r>
          </w:hyperlink>
        </w:p>
        <w:p>
          <w:pPr>
            <w:pStyle w:val="Contents3"/>
            <w:tabs>
              <w:tab w:val="clear" w:pos="9072"/>
              <w:tab w:val="right" w:pos="9638" w:leader="dot"/>
            </w:tabs>
            <w:rPr/>
          </w:pPr>
          <w:hyperlink w:anchor="__RefHeading___Toc1879_2535700000">
            <w:r>
              <w:rPr>
                <w:rStyle w:val="IndexLink"/>
              </w:rPr>
              <w:t>17. Заключительные положения и электронный адрес интернет-ресурса организатора закупа, на котором планируется размещать информацию, подлежащую опубликованию</w:t>
              <w:tab/>
              <w:t>14</w:t>
            </w:r>
          </w:hyperlink>
        </w:p>
        <w:p>
          <w:pPr>
            <w:pStyle w:val="Contents3"/>
            <w:tabs>
              <w:tab w:val="clear" w:pos="9072"/>
              <w:tab w:val="right" w:pos="9638" w:leader="dot"/>
            </w:tabs>
            <w:rPr/>
          </w:pPr>
          <w:hyperlink w:anchor="__RefHeading___Toc3428_223126817">
            <w:r>
              <w:rPr>
                <w:rStyle w:val="IndexLink"/>
              </w:rPr>
              <w:t>Заявка на участие в тендере (для физических лиц, осуществляющих предпринимательскую деятельность и юридических лиц)</w:t>
              <w:tab/>
              <w:t>15</w:t>
            </w:r>
          </w:hyperlink>
        </w:p>
        <w:p>
          <w:pPr>
            <w:pStyle w:val="Contents3"/>
            <w:tabs>
              <w:tab w:val="clear" w:pos="9072"/>
              <w:tab w:val="right" w:pos="9638" w:leader="dot"/>
            </w:tabs>
            <w:rPr/>
          </w:pPr>
          <w:hyperlink w:anchor="__RefHeading___Toc3430_223126817">
            <w:r>
              <w:rPr>
                <w:rStyle w:val="IndexLink"/>
              </w:rPr>
              <w:t>Опись документов, прилагаемых к заявке потенциального поставщика</w:t>
              <w:tab/>
              <w:t>17</w:t>
            </w:r>
          </w:hyperlink>
        </w:p>
        <w:p>
          <w:pPr>
            <w:pStyle w:val="Contents3"/>
            <w:tabs>
              <w:tab w:val="clear" w:pos="9072"/>
              <w:tab w:val="right" w:pos="9638" w:leader="dot"/>
            </w:tabs>
            <w:rPr/>
          </w:pPr>
          <w:hyperlink w:anchor="__RefHeading___Toc3432_223126817">
            <w:r>
              <w:rPr>
                <w:rStyle w:val="IndexLink"/>
              </w:rPr>
              <w:t>Справка об отсутствии просроченной задолженности</w:t>
              <w:tab/>
              <w:t>18</w:t>
            </w:r>
          </w:hyperlink>
        </w:p>
        <w:p>
          <w:pPr>
            <w:pStyle w:val="Contents3"/>
            <w:tabs>
              <w:tab w:val="clear" w:pos="9072"/>
              <w:tab w:val="right" w:pos="9638" w:leader="dot"/>
            </w:tabs>
            <w:rPr/>
          </w:pPr>
          <w:hyperlink w:anchor="__RefHeading___Toc3434_223126817">
            <w:r>
              <w:rPr>
                <w:rStyle w:val="IndexLink"/>
              </w:rPr>
              <w:t>Таблица цен потенциального поставщика (наименование потенциального поставщика, заполняется отдельно на каждый лот)</w:t>
              <w:tab/>
              <w:t>19</w:t>
            </w:r>
          </w:hyperlink>
        </w:p>
        <w:p>
          <w:pPr>
            <w:pStyle w:val="Contents3"/>
            <w:tabs>
              <w:tab w:val="clear" w:pos="9072"/>
              <w:tab w:val="right" w:pos="9638" w:leader="dot"/>
            </w:tabs>
            <w:rPr/>
          </w:pPr>
          <w:hyperlink w:anchor="__RefHeading___Toc1875_2535700000">
            <w:r>
              <w:rPr>
                <w:rStyle w:val="IndexLink"/>
              </w:rPr>
              <w:t>Банковская гарантия</w:t>
              <w:tab/>
              <w:t>20</w:t>
            </w:r>
          </w:hyperlink>
        </w:p>
        <w:p>
          <w:pPr>
            <w:pStyle w:val="Contents3"/>
            <w:tabs>
              <w:tab w:val="clear" w:pos="9072"/>
              <w:tab w:val="right" w:pos="9638" w:leader="dot"/>
            </w:tabs>
            <w:rPr/>
          </w:pPr>
          <w:hyperlink w:anchor="__RefHeading___Toc3436_223126817">
            <w:r>
              <w:rPr>
                <w:rStyle w:val="IndexLink"/>
              </w:rPr>
              <w:t>Банковская гарантия (вид обеспечения исполнения договора поставки)</w:t>
              <w:tab/>
              <w:t>22</w:t>
            </w:r>
          </w:hyperlink>
        </w:p>
        <w:p>
          <w:pPr>
            <w:pStyle w:val="Contents3"/>
            <w:tabs>
              <w:tab w:val="clear" w:pos="9072"/>
              <w:tab w:val="right" w:pos="9638" w:leader="dot"/>
            </w:tabs>
            <w:rPr/>
          </w:pPr>
          <w:hyperlink w:anchor="__RefHeading___Toc3438_223126817">
            <w:r>
              <w:rPr>
                <w:rStyle w:val="IndexLink"/>
              </w:rPr>
              <w:t>Справка об отсутствии просроченной задолженности</w:t>
              <w:tab/>
              <w:t>23</w:t>
            </w:r>
          </w:hyperlink>
        </w:p>
        <w:p>
          <w:pPr>
            <w:pStyle w:val="Contents3"/>
            <w:tabs>
              <w:tab w:val="clear" w:pos="9072"/>
              <w:tab w:val="right" w:pos="9638" w:leader="dot"/>
            </w:tabs>
            <w:rPr/>
          </w:pPr>
          <w:hyperlink w:anchor="__RefHeading___Toc3440_223126817">
            <w:r>
              <w:rPr>
                <w:rStyle w:val="IndexLink"/>
              </w:rPr>
              <w:t>Типовой договор закупа</w:t>
              <w:tab/>
              <w:t>24</w:t>
            </w:r>
          </w:hyperlink>
        </w:p>
        <w:p>
          <w:pPr>
            <w:pStyle w:val="Contents3"/>
            <w:tabs>
              <w:tab w:val="clear" w:pos="9072"/>
              <w:tab w:val="right" w:pos="9638" w:leader="dot"/>
            </w:tabs>
            <w:rPr/>
          </w:pPr>
          <w:hyperlink w:anchor="__RefHeading___Toc3442_223126817">
            <w:r>
              <w:rPr>
                <w:rStyle w:val="IndexLink"/>
              </w:rPr>
              <w:t>Содержание</w:t>
              <w:tab/>
              <w:t>30</w:t>
            </w:r>
          </w:hyperlink>
          <w:r>
            <w:rPr>
              <w:rStyle w:val="IndexLink"/>
            </w:rPr>
            <w:fldChar w:fldCharType="end"/>
          </w:r>
        </w:p>
      </w:sdtContent>
    </w:sdt>
    <w:p>
      <w:pPr>
        <w:pStyle w:val="TextBody"/>
        <w:spacing w:before="0" w:after="57"/>
        <w:rPr/>
      </w:pPr>
      <w:r>
        <w:rPr/>
      </w:r>
    </w:p>
    <w:sectPr>
      <w:footerReference w:type="default" r:id="rId7"/>
      <w:type w:val="nextPage"/>
      <w:pgSz w:w="11906" w:h="16838"/>
      <w:pgMar w:left="1134" w:right="1134" w:gutter="0" w:header="0" w:top="1134" w:footer="1134" w:bottom="175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Calibri">
    <w:charset w:val="00"/>
    <w:family w:val="roman"/>
    <w:pitch w:val="variable"/>
  </w:font>
  <w:font w:name="Arial">
    <w:charset w:val="00"/>
    <w:family w:val="roman"/>
    <w:pitch w:val="variable"/>
  </w:font>
  <w:font w:name="Times New Roman CYR">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spacing w:before="0" w:after="57"/>
      <w:jc w:val="center"/>
      <w:rPr/>
    </w:pPr>
    <w:r>
      <w:rPr/>
      <w:fldChar w:fldCharType="begin"/>
    </w:r>
    <w:r>
      <w:rPr/>
      <w:instrText> PAGE </w:instrText>
    </w:r>
    <w:r>
      <w:rPr/>
      <w:fldChar w:fldCharType="separate"/>
    </w:r>
    <w:r>
      <w:rPr/>
      <w:t>1</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spacing w:before="0" w:after="57"/>
      <w:jc w:val="center"/>
      <w:rPr/>
    </w:pPr>
    <w:r>
      <w:rPr/>
      <w:fldChar w:fldCharType="begin"/>
    </w:r>
    <w:r>
      <w:rPr/>
      <w:instrText> PAGE </w:instrText>
    </w:r>
    <w:r>
      <w:rPr/>
      <w:fldChar w:fldCharType="separate"/>
    </w:r>
    <w:r>
      <w:rPr/>
      <w:t>16</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spacing w:before="0" w:after="57"/>
      <w:jc w:val="center"/>
      <w:rPr/>
    </w:pPr>
    <w:r>
      <w:rPr/>
      <w:fldChar w:fldCharType="begin"/>
    </w:r>
    <w:r>
      <w:rPr/>
      <w:instrText> PAGE </w:instrText>
    </w:r>
    <w:r>
      <w:rPr/>
      <w:fldChar w:fldCharType="separate"/>
    </w:r>
    <w:r>
      <w:rPr/>
      <w:t>17</w:t>
    </w:r>
    <w: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spacing w:before="0" w:after="57"/>
      <w:jc w:val="center"/>
      <w:rPr/>
    </w:pPr>
    <w:r>
      <w:rPr/>
      <w:fldChar w:fldCharType="begin"/>
    </w:r>
    <w:r>
      <w:rPr/>
      <w:instrText> PAGE </w:instrText>
    </w:r>
    <w:r>
      <w:rPr/>
      <w:fldChar w:fldCharType="separate"/>
    </w:r>
    <w:r>
      <w:rPr/>
      <w:t>30</w:t>
    </w:r>
    <w:r>
      <w:rPr/>
      <w:fldChar w:fldCharType="end"/>
    </w:r>
  </w:p>
</w:ftr>
</file>

<file path=word/settings.xml><?xml version="1.0" encoding="utf-8"?>
<w:settings xmlns:w="http://schemas.openxmlformats.org/wordprocessingml/2006/main">
  <w:zoom w:percent="16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before="0" w:after="57"/>
      <w:ind w:left="0" w:right="0" w:firstLine="567"/>
      <w:jc w:val="both"/>
    </w:pPr>
    <w:rPr>
      <w:rFonts w:ascii="Times New Roman" w:hAnsi="Times New Roman" w:eastAsia="Noto Serif CJK SC" w:cs="Lohit Devanagari"/>
      <w:color w:val="auto"/>
      <w:kern w:val="2"/>
      <w:sz w:val="24"/>
      <w:szCs w:val="24"/>
      <w:lang w:val="ru-RU" w:eastAsia="zh-CN" w:bidi="hi-IN"/>
    </w:rPr>
  </w:style>
  <w:style w:type="paragraph" w:styleId="Heading1">
    <w:name w:val="Heading 1"/>
    <w:basedOn w:val="Normal"/>
    <w:next w:val="Normal"/>
    <w:qFormat/>
    <w:pPr>
      <w:keepNext w:val="true"/>
      <w:spacing w:before="240" w:after="60"/>
      <w:jc w:val="center"/>
      <w:outlineLvl w:val="0"/>
    </w:pPr>
    <w:rPr>
      <w:rFonts w:eastAsia="" w:cs="" w:asciiTheme="majorHAnsi" w:cstheme="majorBidi" w:eastAsiaTheme="majorEastAsia" w:hAnsiTheme="majorHAnsi"/>
      <w:b/>
      <w:bCs/>
      <w:kern w:val="2"/>
      <w:sz w:val="32"/>
      <w:szCs w:val="32"/>
    </w:rPr>
  </w:style>
  <w:style w:type="paragraph" w:styleId="Heading2">
    <w:name w:val="Heading 2"/>
    <w:basedOn w:val="Normal"/>
    <w:next w:val="Normal"/>
    <w:qFormat/>
    <w:pPr>
      <w:keepNext w:val="true"/>
      <w:spacing w:before="240" w:after="60"/>
      <w:outlineLvl w:val="1"/>
    </w:pPr>
    <w:rPr>
      <w:rFonts w:eastAsia="" w:cs="" w:asciiTheme="majorHAnsi" w:cstheme="majorBidi" w:eastAsiaTheme="majorEastAsia" w:hAnsiTheme="majorHAnsi"/>
      <w:b/>
      <w:bCs/>
      <w:i/>
      <w:iCs/>
      <w:sz w:val="28"/>
      <w:szCs w:val="28"/>
    </w:rPr>
  </w:style>
  <w:style w:type="paragraph" w:styleId="Heading3">
    <w:name w:val="Heading 3"/>
    <w:basedOn w:val="Normal"/>
    <w:next w:val="TextBody"/>
    <w:qFormat/>
    <w:pPr>
      <w:suppressAutoHyphens w:val="false"/>
      <w:spacing w:beforeAutospacing="1" w:afterAutospacing="1"/>
      <w:jc w:val="center"/>
      <w:outlineLvl w:val="2"/>
    </w:pPr>
    <w:rPr>
      <w:b/>
      <w:bCs/>
      <w:sz w:val="27"/>
      <w:szCs w:val="27"/>
    </w:rPr>
  </w:style>
  <w:style w:type="character" w:styleId="S1">
    <w:name w:val="s1"/>
    <w:qFormat/>
    <w:rPr>
      <w:rFonts w:ascii="Times New Roman" w:hAnsi="Times New Roman" w:cs="Times New Roman"/>
      <w:b/>
      <w:bCs/>
      <w:i w:val="false"/>
      <w:iCs w:val="false"/>
      <w:strike w:val="false"/>
      <w:dstrike w:val="false"/>
      <w:color w:val="000000"/>
      <w:sz w:val="32"/>
      <w:szCs w:val="32"/>
      <w:u w:val="none"/>
      <w:effect w:val="none"/>
    </w:rPr>
  </w:style>
  <w:style w:type="character" w:styleId="NumberingSymbols">
    <w:name w:val="Numbering Symbols"/>
    <w:qFormat/>
    <w:rPr/>
  </w:style>
  <w:style w:type="character" w:styleId="InternetLink">
    <w:name w:val="Hyperlink"/>
    <w:rPr>
      <w:color w:val="000080"/>
      <w:u w:val="single"/>
      <w:lang w:val="zxx" w:eastAsia="zxx" w:bidi="zxx"/>
    </w:rPr>
  </w:style>
  <w:style w:type="character" w:styleId="S0">
    <w:name w:val="s0"/>
    <w:qFormat/>
    <w:rPr>
      <w:rFonts w:ascii="Times New Roman" w:hAnsi="Times New Roman" w:cs="Times New Roman"/>
      <w:b w:val="false"/>
      <w:bCs w:val="false"/>
      <w:i w:val="false"/>
      <w:iCs w:val="false"/>
      <w:strike w:val="false"/>
      <w:dstrike w:val="false"/>
      <w:color w:val="000000"/>
      <w:sz w:val="32"/>
      <w:szCs w:val="32"/>
      <w:u w:val="none"/>
      <w:effect w:val="none"/>
    </w:rPr>
  </w:style>
  <w:style w:type="character" w:styleId="DefaultParagraphFont">
    <w:name w:val="Default Paragraph Font"/>
    <w:qFormat/>
    <w:rPr/>
  </w:style>
  <w:style w:type="character" w:styleId="Appleconvertedspace">
    <w:name w:val="apple-converted-space"/>
    <w:basedOn w:val="DefaultParagraphFont"/>
    <w:qFormat/>
    <w:rPr/>
  </w:style>
  <w:style w:type="character" w:styleId="VisitedInternetLink">
    <w:name w:val="FollowedHyperlink"/>
    <w:rPr>
      <w:color w:val="800000"/>
      <w:u w:val="single"/>
      <w:lang w:val="zxx" w:eastAsia="zxx" w:bidi="zxx"/>
    </w:rPr>
  </w:style>
  <w:style w:type="character" w:styleId="IndexLink">
    <w:name w:val="Index Link"/>
    <w:qFormat/>
    <w:rPr/>
  </w:style>
  <w:style w:type="character" w:styleId="Style11">
    <w:name w:val="Основной шрифт абзаца"/>
    <w:qFormat/>
    <w:rPr/>
  </w:style>
  <w:style w:type="character" w:styleId="S2">
    <w:name w:val="s2"/>
    <w:basedOn w:val="Style11"/>
    <w:qFormat/>
    <w:rPr>
      <w:rFonts w:ascii="Times New Roman" w:hAnsi="Times New Roman" w:cs="Times New Roman"/>
      <w:color w:val="333399"/>
      <w:u w:val="single"/>
    </w:rPr>
  </w:style>
  <w:style w:type="paragraph" w:styleId="Heading">
    <w:name w:val="Heading"/>
    <w:basedOn w:val="Normal"/>
    <w:next w:val="TextBody"/>
    <w:qFormat/>
    <w:pPr>
      <w:keepNext w:val="true"/>
      <w:spacing w:before="240" w:after="120"/>
    </w:pPr>
    <w:rPr>
      <w:rFonts w:ascii="Liberation Sans" w:hAnsi="Liberation Sans" w:eastAsia="Noto Sans CJK SC Regular" w:cs="Lohit Devanagari"/>
      <w:sz w:val="28"/>
      <w:szCs w:val="28"/>
    </w:rPr>
  </w:style>
  <w:style w:type="paragraph" w:styleId="TextBody">
    <w:name w:val="Body Text"/>
    <w:basedOn w:val="Normal"/>
    <w:pPr>
      <w:spacing w:lineRule="auto" w:line="240" w:before="0" w:after="57"/>
      <w:ind w:left="0" w:right="0" w:firstLine="567"/>
      <w:jc w:val="both"/>
    </w:pPr>
    <w:rPr>
      <w:rFonts w:ascii="Times New Roman" w:hAnsi="Times New Roman"/>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31">
    <w:name w:val="Основной текст с отступом 31"/>
    <w:basedOn w:val="Normal"/>
    <w:qFormat/>
    <w:pPr>
      <w:spacing w:before="0" w:after="120"/>
      <w:ind w:left="283" w:right="0" w:hanging="0"/>
    </w:pPr>
    <w:rPr>
      <w:sz w:val="16"/>
      <w:szCs w:val="16"/>
      <w:lang w:eastAsia="ar-SA"/>
    </w:rPr>
  </w:style>
  <w:style w:type="paragraph" w:styleId="Iauiue">
    <w:name w:val="Iau?iue"/>
    <w:qFormat/>
    <w:pPr>
      <w:widowControl w:val="false"/>
      <w:suppressAutoHyphens w:val="true"/>
      <w:bidi w:val="0"/>
      <w:spacing w:before="0" w:after="0"/>
      <w:jc w:val="left"/>
    </w:pPr>
    <w:rPr>
      <w:rFonts w:ascii="Liberation Serif" w:hAnsi="Liberation Serif" w:eastAsia="Noto Serif CJK SC" w:cs="Lohit Devanagari"/>
      <w:color w:val="auto"/>
      <w:kern w:val="2"/>
      <w:sz w:val="24"/>
      <w:szCs w:val="24"/>
      <w:lang w:val="ru-RU" w:eastAsia="zh-CN" w:bidi="hi-IN"/>
    </w:rPr>
  </w:style>
  <w:style w:type="paragraph" w:styleId="1">
    <w:name w:val="Обычный (веб)1"/>
    <w:basedOn w:val="Normal"/>
    <w:qFormat/>
    <w:pPr>
      <w:spacing w:before="100" w:after="100"/>
    </w:pPr>
    <w:rPr>
      <w:sz w:val="24"/>
      <w:szCs w:val="24"/>
      <w:lang w:eastAsia="ar-SA"/>
    </w:rPr>
  </w:style>
  <w:style w:type="paragraph" w:styleId="NormalWeb">
    <w:name w:val="Normal (Web)"/>
    <w:basedOn w:val="Normal"/>
    <w:qFormat/>
    <w:pPr>
      <w:suppressAutoHyphens w:val="false"/>
      <w:spacing w:beforeAutospacing="1" w:afterAutospacing="1"/>
    </w:pPr>
    <w:rPr>
      <w:sz w:val="24"/>
      <w:szCs w:val="24"/>
    </w:rPr>
  </w:style>
  <w:style w:type="paragraph" w:styleId="WW3">
    <w:name w:val="WW-Основной текст 3"/>
    <w:basedOn w:val="Normal"/>
    <w:qFormat/>
    <w:pPr>
      <w:tabs>
        <w:tab w:val="left" w:pos="284" w:leader="none"/>
        <w:tab w:val="left" w:pos="709" w:leader="none"/>
      </w:tabs>
      <w:jc w:val="both"/>
    </w:pPr>
    <w:rPr>
      <w:sz w:val="24"/>
    </w:rPr>
  </w:style>
  <w:style w:type="paragraph" w:styleId="NoSpacing">
    <w:name w:val="No Spacing"/>
    <w:qFormat/>
    <w:pPr>
      <w:widowControl/>
      <w:suppressAutoHyphens w:val="true"/>
      <w:bidi w:val="0"/>
      <w:spacing w:before="0" w:after="0"/>
      <w:jc w:val="left"/>
    </w:pPr>
    <w:rPr>
      <w:rFonts w:ascii="Calibri" w:hAnsi="Calibri" w:eastAsia="Noto Serif CJK SC" w:cs="Lohit Devanagari"/>
      <w:color w:val="auto"/>
      <w:kern w:val="2"/>
      <w:sz w:val="22"/>
      <w:szCs w:val="22"/>
      <w:lang w:val="ru-RU" w:eastAsia="zh-CN" w:bidi="hi-IN"/>
    </w:rPr>
  </w:style>
  <w:style w:type="paragraph" w:styleId="J16">
    <w:name w:val="j16"/>
    <w:basedOn w:val="Normal"/>
    <w:qFormat/>
    <w:pPr>
      <w:suppressAutoHyphens w:val="false"/>
      <w:spacing w:beforeAutospacing="1" w:afterAutospacing="1"/>
    </w:pPr>
    <w:rPr>
      <w:sz w:val="24"/>
      <w:szCs w:val="24"/>
    </w:rPr>
  </w:style>
  <w:style w:type="paragraph" w:styleId="J13">
    <w:name w:val="j13"/>
    <w:basedOn w:val="Normal"/>
    <w:qFormat/>
    <w:pPr>
      <w:suppressAutoHyphens w:val="false"/>
      <w:spacing w:beforeAutospacing="1" w:afterAutospacing="1"/>
    </w:pPr>
    <w:rPr>
      <w:sz w:val="24"/>
      <w:szCs w:val="24"/>
    </w:rPr>
  </w:style>
  <w:style w:type="paragraph" w:styleId="Style12">
    <w:name w:val="Статья"/>
    <w:basedOn w:val="Normal"/>
    <w:qFormat/>
    <w:pPr>
      <w:widowControl w:val="false"/>
      <w:tabs>
        <w:tab w:val="clear" w:pos="709"/>
        <w:tab w:val="left" w:pos="0" w:leader="none"/>
        <w:tab w:val="left" w:pos="993" w:leader="none"/>
      </w:tabs>
      <w:suppressAutoHyphens w:val="false"/>
      <w:jc w:val="both"/>
    </w:pPr>
    <w:rPr>
      <w:rFonts w:ascii="Arial" w:hAnsi="Arial" w:cs="Arial"/>
      <w:sz w:val="24"/>
      <w:szCs w:val="24"/>
    </w:rPr>
  </w:style>
  <w:style w:type="paragraph" w:styleId="HeaderandFooter">
    <w:name w:val="Header and Footer"/>
    <w:basedOn w:val="Normal"/>
    <w:qFormat/>
    <w:pPr/>
    <w:rPr/>
  </w:style>
  <w:style w:type="paragraph" w:styleId="Header">
    <w:name w:val="Header"/>
    <w:basedOn w:val="Normal"/>
    <w:pPr>
      <w:tabs>
        <w:tab w:val="clear" w:pos="709"/>
        <w:tab w:val="center" w:pos="4677" w:leader="none"/>
        <w:tab w:val="right" w:pos="9355" w:leader="none"/>
      </w:tabs>
    </w:pPr>
    <w:rPr/>
  </w:style>
  <w:style w:type="paragraph" w:styleId="FrameContents">
    <w:name w:val="Frame Contents"/>
    <w:basedOn w:val="Normal"/>
    <w:qFormat/>
    <w:pPr/>
    <w:rPr/>
  </w:style>
  <w:style w:type="paragraph" w:styleId="Subtitle">
    <w:name w:val="Subtitle"/>
    <w:basedOn w:val="Normal"/>
    <w:qFormat/>
    <w:pPr>
      <w:suppressAutoHyphens w:val="false"/>
      <w:jc w:val="center"/>
    </w:pPr>
    <w:rPr>
      <w:rFonts w:ascii="Times New Roman CYR" w:hAnsi="Times New Roman CYR"/>
      <w:b/>
      <w:caps/>
      <w:sz w:val="24"/>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paragraph" w:styleId="Title">
    <w:name w:val="Title"/>
    <w:basedOn w:val="Heading"/>
    <w:next w:val="TextBody"/>
    <w:qFormat/>
    <w:pPr>
      <w:jc w:val="center"/>
    </w:pPr>
    <w:rPr>
      <w:b/>
      <w:bCs/>
      <w:sz w:val="56"/>
      <w:szCs w:val="56"/>
    </w:rPr>
  </w:style>
  <w:style w:type="paragraph" w:styleId="IndexHeading">
    <w:name w:val="Index Heading"/>
    <w:basedOn w:val="Heading"/>
    <w:pPr>
      <w:suppressLineNumbers/>
      <w:ind w:left="0" w:right="0" w:hanging="0"/>
    </w:pPr>
    <w:rPr>
      <w:b/>
      <w:bCs/>
      <w:sz w:val="32"/>
      <w:szCs w:val="32"/>
    </w:rPr>
  </w:style>
  <w:style w:type="paragraph" w:styleId="TOAHeading">
    <w:name w:val="TOA Heading"/>
    <w:basedOn w:val="IndexHeading"/>
    <w:qFormat/>
    <w:pPr>
      <w:suppressLineNumbers/>
      <w:ind w:left="0" w:right="0" w:hanging="0"/>
    </w:pPr>
    <w:rPr>
      <w:b/>
      <w:bCs/>
      <w:sz w:val="32"/>
      <w:szCs w:val="32"/>
    </w:rPr>
  </w:style>
  <w:style w:type="paragraph" w:styleId="Contents1">
    <w:name w:val="TOC 1"/>
    <w:basedOn w:val="Index"/>
    <w:pPr>
      <w:tabs>
        <w:tab w:val="clear" w:pos="709"/>
        <w:tab w:val="right" w:pos="9638" w:leader="dot"/>
      </w:tabs>
      <w:ind w:left="0" w:right="0" w:hanging="0"/>
    </w:pPr>
    <w:rPr/>
  </w:style>
  <w:style w:type="paragraph" w:styleId="Contents3">
    <w:name w:val="TOC 3"/>
    <w:basedOn w:val="Index"/>
    <w:pPr>
      <w:tabs>
        <w:tab w:val="clear" w:pos="709"/>
        <w:tab w:val="right" w:pos="9072" w:leader="dot"/>
      </w:tabs>
      <w:ind w:left="566" w:right="0" w:hanging="0"/>
    </w:pPr>
    <w:rPr/>
  </w:style>
  <w:style w:type="paragraph" w:styleId="Footer">
    <w:name w:val="Footer"/>
    <w:basedOn w:val="HeaderandFooter"/>
    <w:pPr>
      <w:suppressLineNumbers/>
      <w:tabs>
        <w:tab w:val="clear" w:pos="709"/>
        <w:tab w:val="center" w:pos="4819" w:leader="none"/>
        <w:tab w:val="right" w:pos="9638" w:leader="none"/>
      </w:tabs>
    </w:pPr>
    <w:rPr/>
  </w:style>
  <w:style w:type="paragraph" w:styleId="Quotations">
    <w:name w:val="Quotations"/>
    <w:basedOn w:val="Normal"/>
    <w:qFormat/>
    <w:pPr>
      <w:spacing w:before="0" w:after="283"/>
      <w:ind w:left="567" w:right="567" w:hanging="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yperlink" Target="mailto:bcrb_priemnaya@mail.ru" TargetMode="External"/><Relationship Id="rId4" Type="http://schemas.openxmlformats.org/officeDocument/2006/relationships/hyperlink" Target="http://borcrb.kz/goszakup/tender/2021/02" TargetMode="Externa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fontTable" Target="fontTable.xml"/><Relationship Id="rId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1459</TotalTime>
  <Application>LibreOffice/7.2.1.2$Windows_X86_64 LibreOffice_project/87b77fad49947c1441b67c559c339af8f3517e22</Application>
  <AppVersion>15.0000</AppVersion>
  <Pages>30</Pages>
  <Words>7904</Words>
  <Characters>60787</Characters>
  <CharactersWithSpaces>68788</CharactersWithSpaces>
  <Paragraphs>474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2019-03-13T16:08:05Z</dcterms:created>
  <dc:creator/>
  <dc:description/>
  <dc:language>ru-RU</dc:language>
  <cp:lastModifiedBy/>
  <dcterms:modified xsi:type="dcterms:W3CDTF">2021-10-01T02:18:15Z</dcterms:modified>
  <cp:revision>81</cp:revision>
  <dc:subject/>
  <dc:title/>
</cp:coreProperties>
</file>

<file path=docProps/custom.xml><?xml version="1.0" encoding="utf-8"?>
<Properties xmlns="http://schemas.openxmlformats.org/officeDocument/2006/custom-properties" xmlns:vt="http://schemas.openxmlformats.org/officeDocument/2006/docPropsVTypes"/>
</file>