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 xml:space="preserve">приказ № </w:t>
            </w:r>
            <w:r>
              <w:rPr>
                <w:b/>
                <w:bCs/>
                <w:sz w:val="24"/>
                <w:szCs w:val="24"/>
              </w:rPr>
              <w:t>290-1</w:t>
            </w:r>
            <w:r>
              <w:rPr>
                <w:b/>
                <w:bCs/>
                <w:sz w:val="24"/>
                <w:szCs w:val="24"/>
              </w:rPr>
              <w:t xml:space="preserve"> от «06» октября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№8 «Аппарат для аудиологического скрининга</w:t>
      </w:r>
      <w:r>
        <w:rPr>
          <w:rFonts w:eastAsia="Noto Serif CJK SC" w:cs="Lohit Devanagari"/>
          <w:b/>
          <w:bCs/>
          <w:color w:val="auto"/>
          <w:kern w:val="2"/>
          <w:sz w:val="24"/>
          <w:szCs w:val="24"/>
          <w:lang w:val="ru-RU" w:eastAsia="zh-CN" w:bidi="hi-IN"/>
        </w:rPr>
        <w:t xml:space="preserve"> (повторный закуп)</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Министра Здравоохранения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highlight w:val="none"/>
          <w:shd w:fill="FFFF00" w:val="clear"/>
        </w:rPr>
      </w:pPr>
      <w:r>
        <w:rPr>
          <w:sz w:val="24"/>
          <w:szCs w:val="24"/>
          <w:shd w:fill="FFFF00"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highlight w:val="none"/>
          <w:shd w:fill="FFFF00" w:val="clear"/>
        </w:rPr>
      </w:pPr>
      <w:r>
        <w:rPr>
          <w:b w:val="false"/>
          <w:bCs w:val="false"/>
          <w:color w:val="000000"/>
          <w:spacing w:val="2"/>
          <w:sz w:val="24"/>
          <w:szCs w:val="24"/>
          <w:shd w:fill="FFFF00" w:val="clear"/>
          <w:lang w:val="ru-RU" w:bidi="hi-IN"/>
        </w:rPr>
        <w:t>2.18. требования к товарам</w:t>
      </w:r>
      <w:r>
        <w:rPr>
          <w:b w:val="false"/>
          <w:bCs w:val="false"/>
          <w:color w:val="000000"/>
          <w:spacing w:val="2"/>
          <w:shd w:fill="FFFF00" w:val="clear"/>
          <w:lang w:val="ru-RU" w:bidi="hi-IN"/>
        </w:rPr>
        <w:t>.</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«23» октября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"№8 «Аппарат для аудиологического скрининга</w:t>
      </w:r>
      <w:r>
        <w:rPr>
          <w:rFonts w:eastAsia="Noto Serif CJK SC" w:cs="Lohit Devanagari"/>
          <w:b/>
          <w:bCs/>
          <w:color w:val="auto"/>
          <w:kern w:val="2"/>
          <w:sz w:val="24"/>
          <w:szCs w:val="24"/>
          <w:lang w:val="ru-RU" w:eastAsia="zh-CN" w:bidi="hi-IN"/>
        </w:rPr>
        <w:t xml:space="preserve"> (повторный закуп)</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«23» октября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«23» октября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«23» октября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8/index.html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№8 «Аппарат для аудиологического скрининга</w:t>
      </w:r>
      <w:r>
        <w:rPr>
          <w:rFonts w:eastAsia="Noto Serif CJK SC" w:cs="Lohit Devanagari"/>
          <w:b/>
          <w:bCs/>
          <w:color w:val="auto"/>
          <w:kern w:val="2"/>
          <w:sz w:val="24"/>
          <w:szCs w:val="24"/>
          <w:lang w:val="ru-RU" w:eastAsia="zh-CN" w:bidi="hi-IN"/>
        </w:rPr>
        <w:t xml:space="preserve"> (повторный закуп)</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№8 «Аппарат для аудиологического скрининга</w:t>
      </w:r>
      <w:r>
        <w:rPr>
          <w:rFonts w:eastAsia="Noto Serif CJK SC" w:cs="Lohit Devanagari"/>
          <w:b/>
          <w:bCs/>
          <w:color w:val="auto"/>
          <w:kern w:val="2"/>
          <w:sz w:val="24"/>
          <w:szCs w:val="24"/>
          <w:lang w:val="ru-RU" w:eastAsia="zh-CN" w:bidi="hi-IN"/>
        </w:rPr>
        <w:t xml:space="preserve"> (повторный закуп)</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№8 «Аппарат для аудиологического скрининга</w:t>
      </w:r>
      <w:r>
        <w:rPr>
          <w:rStyle w:val="S2"/>
          <w:rFonts w:eastAsia="Noto Serif CJK SC" w:cs="Lohit Devanagari"/>
          <w:b/>
          <w:bCs/>
          <w:color w:val="auto"/>
          <w:kern w:val="2"/>
          <w:sz w:val="24"/>
          <w:szCs w:val="24"/>
          <w:u w:val="none"/>
          <w:lang w:val="ru-RU" w:eastAsia="zh-CN" w:bidi="hi-IN"/>
        </w:rPr>
        <w:t xml:space="preserve"> (повторный закуп)</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№8 «Аппарат для аудиологического скрининга</w:t>
      </w:r>
      <w:r>
        <w:rPr>
          <w:rStyle w:val="S2"/>
          <w:rFonts w:eastAsia="Noto Serif CJK SC" w:cs="Lohit Devanagari"/>
          <w:b/>
          <w:bCs/>
          <w:i w:val="false"/>
          <w:iCs w:val="false"/>
          <w:color w:val="auto"/>
          <w:kern w:val="2"/>
          <w:sz w:val="24"/>
          <w:szCs w:val="24"/>
          <w:u w:val="none"/>
          <w:lang w:val="ru-RU" w:eastAsia="zh-CN" w:bidi="hi-IN"/>
        </w:rPr>
        <w:t xml:space="preserve"> (повторный закуп)</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№8 «Аппарат для аудиологического скрининга</w:t>
      </w:r>
      <w:r>
        <w:rPr>
          <w:rStyle w:val="S2"/>
          <w:rFonts w:eastAsia="Noto Serif CJK SC" w:cs="Lohit Devanagari"/>
          <w:b/>
          <w:bCs/>
          <w:i w:val="false"/>
          <w:iCs w:val="false"/>
          <w:color w:val="auto"/>
          <w:kern w:val="2"/>
          <w:sz w:val="24"/>
          <w:szCs w:val="24"/>
          <w:u w:val="none"/>
          <w:lang w:val="ru-RU" w:eastAsia="zh-CN" w:bidi="hi-IN"/>
        </w:rPr>
        <w:t xml:space="preserve"> (повторный закуп)</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№8 «Аппарат для аудиологического скрининга</w:t>
      </w:r>
      <w:r>
        <w:rPr>
          <w:rStyle w:val="S2"/>
          <w:rFonts w:eastAsia="Noto Serif CJK SC" w:cs="Lohit Devanagari"/>
          <w:b/>
          <w:bCs/>
          <w:i w:val="false"/>
          <w:iCs w:val="false"/>
          <w:color w:val="auto"/>
          <w:kern w:val="2"/>
          <w:sz w:val="24"/>
          <w:szCs w:val="24"/>
          <w:u w:val="none"/>
          <w:lang w:val="ru-RU" w:eastAsia="zh-CN" w:bidi="hi-IN"/>
        </w:rPr>
        <w:t xml:space="preserve">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№8 «Аппарат для аудиологического скрининга</w:t>
      </w:r>
      <w:r>
        <w:rPr>
          <w:rStyle w:val="S2"/>
          <w:rFonts w:eastAsia="Noto Serif CJK SC" w:cs="Lohit Devanagari"/>
          <w:b/>
          <w:bCs/>
          <w:i w:val="false"/>
          <w:iCs w:val="false"/>
          <w:color w:val="auto"/>
          <w:kern w:val="2"/>
          <w:sz w:val="24"/>
          <w:szCs w:val="24"/>
          <w:u w:val="none"/>
          <w:lang w:val="ru-RU" w:eastAsia="zh-CN" w:bidi="hi-IN"/>
        </w:rPr>
        <w:t xml:space="preserve"> (повторный закуп)</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№8 «Аппарат для аудиологического скрининга</w:t>
      </w:r>
      <w:r>
        <w:rPr>
          <w:rStyle w:val="S2"/>
          <w:rFonts w:eastAsia="Noto Serif CJK SC" w:cs="Lohit Devanagari"/>
          <w:b/>
          <w:bCs/>
          <w:i w:val="false"/>
          <w:iCs w:val="false"/>
          <w:color w:val="auto"/>
          <w:kern w:val="2"/>
          <w:sz w:val="24"/>
          <w:szCs w:val="24"/>
          <w:u w:val="none"/>
          <w:lang w:val="ru-RU" w:eastAsia="zh-CN" w:bidi="hi-IN"/>
        </w:rPr>
        <w:t xml:space="preserve"> (повторный закуп)</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2252</TotalTime>
  <Application>LibreOffice/7.5.7.1$Linux_X86_64 LibreOffice_project/50$Build-1</Application>
  <AppVersion>15.0000</AppVersion>
  <Pages>32</Pages>
  <Words>8508</Words>
  <Characters>64813</Characters>
  <CharactersWithSpaces>73188</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2023-10-27T10:02:02Z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file>