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cs="Times New Roman"/>
          <w:b/>
          <w:sz w:val="24"/>
          <w:szCs w:val="24"/>
          <w:lang w:val="ru-RU" w:eastAsia="zh-CN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eastAsia="zh-CN" w:bidi="ar-SA"/>
        </w:rPr>
      </w:r>
    </w:p>
    <w:tbl>
      <w:tblPr>
        <w:tblW w:w="14580" w:type="dxa"/>
        <w:jc w:val="left"/>
        <w:tblInd w:w="-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4"/>
        <w:gridCol w:w="7275"/>
      </w:tblGrid>
      <w:tr>
        <w:trPr/>
        <w:tc>
          <w:tcPr>
            <w:tcW w:w="7304" w:type="dxa"/>
            <w:tcBorders/>
          </w:tcPr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«Согласовано»</w:t>
              <w:br/>
              <w:t>юрист КГП на ПХВ «Бородулихинская</w:t>
              <w:br/>
              <w:t>районная больница» УЗ ОА</w:t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_________________ Боев В.А.</w:t>
            </w:r>
          </w:p>
        </w:tc>
        <w:tc>
          <w:tcPr>
            <w:tcW w:w="7275" w:type="dxa"/>
            <w:tcBorders/>
          </w:tcPr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«Утверждаю»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И.О. Главного врача КГП на ПХВ «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Бородулихинская</w:t>
              <w:br/>
              <w:t>районная больница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» УЗ ОА</w:t>
              <w:br/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_________________ Косамбеков М.А.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 xml:space="preserve">приказ 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317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 xml:space="preserve"> от «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3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» ноября 2023 года</w:t>
            </w:r>
          </w:p>
        </w:tc>
      </w:tr>
    </w:tbl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Heading4"/>
        <w:numPr>
          <w:ilvl w:val="3"/>
          <w:numId w:val="3"/>
        </w:numPr>
        <w:rPr>
          <w:lang w:val="ru-RU" w:eastAsia="zh-CN" w:bidi="ar-SA"/>
        </w:rPr>
      </w:pPr>
      <w:bookmarkStart w:id="0" w:name="__RefHeading___Toc8794_3712210509"/>
      <w:bookmarkEnd w:id="0"/>
      <w:r>
        <w:rPr>
          <w:lang w:val="ru-RU" w:eastAsia="zh-CN" w:bidi="ar-SA"/>
        </w:rPr>
        <w:t>Приложение 1 к тендерной документации для тендера №9 «Медицинское оборудование (повторный закуп)»</w:t>
      </w:r>
    </w:p>
    <w:p>
      <w:pPr>
        <w:pStyle w:val="Heading4"/>
        <w:numPr>
          <w:ilvl w:val="3"/>
          <w:numId w:val="3"/>
        </w:numPr>
        <w:rPr>
          <w:lang w:val="ru-RU" w:eastAsia="zh-CN" w:bidi="ar-SA"/>
        </w:rPr>
      </w:pPr>
      <w:bookmarkStart w:id="1" w:name="__RefHeading___Toc19830_830770702"/>
      <w:bookmarkEnd w:id="1"/>
      <w:r>
        <w:rPr>
          <w:lang w:val="ru-RU" w:eastAsia="zh-CN" w:bidi="ar-SA"/>
        </w:rPr>
        <w:t>Перечень технических спецификаций</w:t>
      </w:r>
    </w:p>
    <w:p>
      <w:pPr>
        <w:pStyle w:val="Heading4"/>
        <w:numPr>
          <w:ilvl w:val="3"/>
          <w:numId w:val="3"/>
        </w:numPr>
        <w:rPr/>
      </w:pPr>
      <w:bookmarkStart w:id="2" w:name="__RefHeading___Toc653_1205538732"/>
      <w:bookmarkEnd w:id="2"/>
      <w:r>
        <w:rPr/>
        <w:t>1. Кресло гинекологическое</w:t>
      </w:r>
    </w:p>
    <w:p>
      <w:pPr>
        <w:pStyle w:val="BodyText"/>
        <w:numPr>
          <w:ilvl w:val="3"/>
          <w:numId w:val="3"/>
        </w:numPr>
        <w:rPr/>
      </w:pPr>
      <w:r>
        <w:rPr/>
      </w:r>
    </w:p>
    <w:p>
      <w:pPr>
        <w:pStyle w:val="Heading4"/>
        <w:numPr>
          <w:ilvl w:val="0"/>
          <w:numId w:val="0"/>
        </w:numPr>
        <w:ind w:hanging="0" w:left="0"/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0"/>
        <w:gridCol w:w="588"/>
        <w:gridCol w:w="2457"/>
        <w:gridCol w:w="5695"/>
        <w:gridCol w:w="1502"/>
      </w:tblGrid>
      <w:tr>
        <w:trPr>
          <w:trHeight w:val="40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Описание</w:t>
            </w:r>
          </w:p>
        </w:tc>
      </w:tr>
      <w:tr>
        <w:trPr>
          <w:trHeight w:val="105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Наименование медицинской техники </w:t>
            </w:r>
            <w:r>
              <w:rPr>
                <w:rFonts w:cs="Times New Roman"/>
                <w:i/>
                <w:sz w:val="22"/>
                <w:szCs w:val="22"/>
              </w:rPr>
              <w:t>(в соответствии с государственным реестром медицинских изделий, с указанием модели, наименования производителя, страны).</w:t>
            </w:r>
          </w:p>
        </w:tc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shd w:fill="FFFFFF" w:val="clear"/>
              </w:rPr>
              <w:t>Кресло гинекологическое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11" w:hRule="atLeast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п/п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left="-97" w:right="-8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left="-97" w:right="-8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zh-CN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left="-97" w:right="-86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Требуемое количество</w:t>
            </w:r>
          </w:p>
          <w:p>
            <w:pPr>
              <w:pStyle w:val="Normal"/>
              <w:spacing w:lineRule="auto" w:line="240" w:before="0" w:after="0"/>
              <w:ind w:hanging="0" w:left="-97" w:right="-86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</w:rPr>
            </w:r>
          </w:p>
        </w:tc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Основные комплектующие:</w:t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</w:rPr>
            </w:r>
          </w:p>
        </w:tc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кресло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Кресло предназначено для размещения женщин при гинекологических обследованиях, проведении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различных процедур, а также при мелких хирургических вмешательствах.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Конструкция кресла – неразборная.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Высота сиденья – фиксированная, нерегулируемая.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Изменение углов наклона спинки и сиденья осуществляется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с помощью пневмопружин.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Мягкие части толщиной 50 мм обтянуты винилискожей по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бесшовной технологии.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Подушки спинки и сиденья - быстросъёмные.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Подставка для ног надежно закреплена на каркасе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основания. При необходимости откидывается.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Кресло установлено на 2 колёсных опорах и 2 опорах (1 -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регулируемая).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Стандартный комплект поставки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Подколенники (2 штуки)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Подставка для ног (подножка)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Тазик из нержавеющей стали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● </w:t>
            </w:r>
            <w:r>
              <w:rPr>
                <w:rFonts w:cs="Times New Roman"/>
                <w:sz w:val="22"/>
                <w:szCs w:val="22"/>
                <w:lang w:val="pl-PL"/>
              </w:rPr>
              <w:t>Упоры для рук (2 штуки)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Кресло поставляется в собранном виде в гофра картонной упаковке и/или в деревянной обрешетке.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Технические характеристики: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Длина (при горизонтальном положении спинки и сидения), мм 1280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Ширина сиденья, мм 500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Высота сиденья, мм 900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Высота, мм 1650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Угол наклона спинки от вертикали от 20° до 100°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Угол наклона сиденья от горизонтали от 0° до 20°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Масса, кг 49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Масса брутто (в гофрокартонной упаковке), кг 54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Допускаемая нагрузка на кресло, кг 180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Размеры гофрокартонной упаковки, мм 900х600х1680, объем, куб.м - 0,91</w:t>
            </w:r>
          </w:p>
          <w:p>
            <w:pPr>
              <w:pStyle w:val="Akapitzlist"/>
              <w:spacing w:before="0" w:after="200"/>
              <w:ind w:hanging="0" w:left="31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Размеры деревянной обрешетки, мм 1010х700х1420, объем, куб.м - 1,004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шт.</w:t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"/>
              <w:spacing w:before="0" w:after="200"/>
              <w:ind w:hanging="0" w:left="31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snapToGrid w:val="fals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41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Расходные материалы и изнашиваемые узлы:</w:t>
            </w:r>
          </w:p>
        </w:tc>
      </w:tr>
      <w:tr>
        <w:trPr>
          <w:trHeight w:val="141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</w:rPr>
            </w:r>
          </w:p>
        </w:tc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snapToGrid w:val="fals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705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Требования к хранению и транспортировке</w:t>
            </w:r>
          </w:p>
        </w:tc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Рекомендуемый диапазон температуры:</w:t>
            </w:r>
          </w:p>
          <w:p>
            <w:pPr>
              <w:pStyle w:val="Akapitzlis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</w:tabs>
              <w:suppressAutoHyphens w:val="false"/>
              <w:spacing w:lineRule="auto" w:line="240" w:before="141" w:after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температура</w:t>
              <w:tab/>
              <w:t>от -20ºC до +50ºC-</w:t>
            </w:r>
            <w:r>
              <w:rPr/>
              <w:drawing>
                <wp:inline distT="0" distB="0" distL="0" distR="0">
                  <wp:extent cx="139700" cy="215265"/>
                  <wp:effectExtent l="0" t="0" r="0" b="0"/>
                  <wp:docPr id="1" name="image31.jpeg Copy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1.jpeg Copy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8" t="-110" r="-168" b="-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kapitzlis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</w:tabs>
              <w:suppressAutoHyphens w:val="false"/>
              <w:spacing w:lineRule="auto" w:line="240" w:before="141" w:after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относительная влажность </w:t>
              <w:tab/>
              <w:t>10 ÷ 95%</w:t>
              <w:tab/>
            </w:r>
            <w:r>
              <w:rPr/>
              <w:drawing>
                <wp:inline distT="0" distB="0" distL="0" distR="0">
                  <wp:extent cx="225425" cy="226060"/>
                  <wp:effectExtent l="0" t="0" r="0" b="0"/>
                  <wp:docPr id="2" name="image32.jpeg Copy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.jpeg Copy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01" t="-101" r="-101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kapitzlis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  <w:tab w:val="left" w:pos="7456" w:leader="none"/>
              </w:tabs>
              <w:suppressAutoHyphens w:val="false"/>
              <w:spacing w:lineRule="auto" w:line="240" w:before="98" w:after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атмосферное давление</w:t>
              <w:tab/>
              <w:t>500 ÷ 1060 гПа</w:t>
              <w:tab/>
            </w:r>
            <w:r>
              <w:rPr/>
              <w:drawing>
                <wp:inline distT="0" distB="0" distL="0" distR="0">
                  <wp:extent cx="241300" cy="241300"/>
                  <wp:effectExtent l="0" t="0" r="0" b="0"/>
                  <wp:docPr id="3" name="image33.jpeg Copy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.jpeg Copy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97" t="-97" r="-97" b="-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138" w:after="0"/>
              <w:jc w:val="both"/>
              <w:rPr>
                <w:rFonts w:ascii="Times New Roman" w:hAnsi="Times New Roman" w:eastAsia="Arial" w:cs="Times New Roman"/>
                <w:sz w:val="22"/>
                <w:szCs w:val="22"/>
                <w:lang w:eastAsia="en-US"/>
              </w:rPr>
            </w:pPr>
            <w:r>
              <w:rPr>
                <w:rFonts w:eastAsia="Arial" w:cs="Times New Roman"/>
                <w:sz w:val="22"/>
                <w:szCs w:val="22"/>
                <w:lang w:eastAsia="en-US"/>
              </w:rPr>
              <w:t>Рекомендуемые условия рабочей среды: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019" w:leader="none"/>
                <w:tab w:val="left" w:pos="1020" w:leader="none"/>
                <w:tab w:val="left" w:pos="5545" w:leader="none"/>
              </w:tabs>
              <w:suppressAutoHyphens w:val="false"/>
              <w:spacing w:lineRule="auto" w:line="240" w:before="138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"/>
              </w:rPr>
              <w:t>температура окружающей среды</w:t>
              <w:tab/>
              <w:t>+10ºC до +40ºC</w:t>
            </w:r>
          </w:p>
        </w:tc>
      </w:tr>
      <w:tr>
        <w:trPr>
          <w:trHeight w:val="47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Условия осуществления поставки медицинской техники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(в соответствии с ИНКОТЕРМС 2020)</w:t>
            </w:r>
          </w:p>
        </w:tc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GB"/>
              </w:rPr>
              <w:t>DDP Область Абай, село Бородулиха, улица Ф.Середина, 66</w:t>
            </w:r>
          </w:p>
        </w:tc>
      </w:tr>
      <w:tr>
        <w:trPr>
          <w:trHeight w:val="47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Срок поставки медицинской техники и место дислокации</w:t>
            </w:r>
          </w:p>
        </w:tc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До 1 декабря 2023 года</w:t>
            </w:r>
          </w:p>
          <w:p>
            <w:pPr>
              <w:pStyle w:val="Bezodstpw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Область Абай, село Бородулиха, улица Ф.Середина, 66</w:t>
            </w:r>
          </w:p>
        </w:tc>
      </w:tr>
      <w:tr>
        <w:trPr>
          <w:trHeight w:val="234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3"/>
          <w:numId w:val="3"/>
        </w:numPr>
        <w:rPr/>
      </w:pPr>
      <w:r>
        <w:rPr/>
      </w:r>
    </w:p>
    <w:p>
      <w:pPr>
        <w:pStyle w:val="Heading4"/>
        <w:numPr>
          <w:ilvl w:val="3"/>
          <w:numId w:val="3"/>
        </w:numPr>
        <w:rPr/>
      </w:pPr>
      <w:bookmarkStart w:id="3" w:name="__RefHeading___Toc1917_858091294"/>
      <w:bookmarkEnd w:id="3"/>
      <w:r>
        <w:rPr/>
        <w:t>2. Светильник медицинский смотровой</w:t>
      </w:r>
    </w:p>
    <w:p>
      <w:pPr>
        <w:pStyle w:val="BodyText"/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1"/>
        <w:gridCol w:w="587"/>
        <w:gridCol w:w="2457"/>
        <w:gridCol w:w="5695"/>
        <w:gridCol w:w="1502"/>
      </w:tblGrid>
      <w:tr>
        <w:trPr>
          <w:trHeight w:val="40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10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Описание</w:t>
            </w:r>
          </w:p>
        </w:tc>
      </w:tr>
      <w:tr>
        <w:trPr>
          <w:trHeight w:val="105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Наименование медицинской техники </w:t>
            </w:r>
            <w:r>
              <w:rPr>
                <w:rFonts w:cs="Times New Roman"/>
                <w:i/>
                <w:sz w:val="22"/>
                <w:szCs w:val="22"/>
              </w:rPr>
              <w:t>(в соответствии с государственным реестром медицинских изделий, с указанием модели, наименования производителя, страны).</w:t>
            </w:r>
          </w:p>
        </w:tc>
        <w:tc>
          <w:tcPr>
            <w:tcW w:w="10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shd w:fill="FFFFFF" w:val="clear"/>
              </w:rPr>
              <w:t>Светильник медицинский смотровой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b/>
                <w:bCs/>
                <w:sz w:val="22"/>
                <w:szCs w:val="22"/>
                <w:shd w:fill="FFFFFF" w:val="clear"/>
              </w:rPr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11" w:hRule="atLeast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п/п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left="-97" w:right="-8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left="-97" w:right="-8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zh-CN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left="-97" w:right="-86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Требуемое количество</w:t>
            </w:r>
          </w:p>
          <w:p>
            <w:pPr>
              <w:pStyle w:val="Normal"/>
              <w:spacing w:lineRule="auto" w:line="240" w:before="0" w:after="0"/>
              <w:ind w:hanging="0" w:left="-97" w:right="-86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</w:rPr>
            </w:r>
          </w:p>
        </w:tc>
        <w:tc>
          <w:tcPr>
            <w:tcW w:w="3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10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>Основные комплектующие:</w:t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</w:rPr>
            </w:r>
          </w:p>
        </w:tc>
        <w:tc>
          <w:tcPr>
            <w:tcW w:w="3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Купол с подвесным кронштейном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Бестеневой смотровой светильник предназначен для использования в операционных залах, процедурных кабинетах, стоматологических и ветеринарных клиниках для освещения операционного поля при проведении хирургических операций или диагностических процедур.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Количество блоков освещения/куполов, шт:1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Форма блоков освещения/купола и материал: круглый купол диаметром не более 28 см, изготовленный из термостойкого пластика, обладающего высоким сроком службы и механической прочностью, а именно: PC/ABS LIGHT BLOCK (поликарбонат/акрилонитрил-бутадиен-стирол) представляет собой смесь ПК и АБС, обеспечивающую уникальное сочетание высокой технологичности АБС с превосходными механическими свойствами, а также ударопрочностью и термостойкостью.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Современная монолитная конструкция купола должна обеспечивать простоту чистки, эргономичность использования и идеальное взаимодействие с ламинарным потоком.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Источник света: должны быть светодиоды 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Количество источников основного света - 1 модуль, состоящих из не менее 18 светодиодов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Средний срок службы источников света, ч: не менее 60000.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Позиционирование светильника должно осуществляться   с помощью стерильной ручки, расположенной в центре купола, а также нестерильной ручки, установленной сбоку.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Должна быть возможность изменять интенсивность освещения, удерживая руку под датчиком приближения на расстоянии не менее 5 см (функция «</w:t>
            </w:r>
            <w:r>
              <w:rPr>
                <w:rFonts w:cs="Times New Roman"/>
                <w:sz w:val="22"/>
                <w:szCs w:val="22"/>
                <w:lang w:val="en-GB"/>
              </w:rPr>
              <w:t>no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GB"/>
              </w:rPr>
              <w:t>touch</w:t>
            </w:r>
            <w:r>
              <w:rPr>
                <w:rFonts w:cs="Times New Roman"/>
                <w:sz w:val="22"/>
                <w:szCs w:val="22"/>
              </w:rPr>
              <w:t>»).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Масса купола – не менее 2.5 кг.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Масса светильника – не более 30 кг.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Освещенность в центре светового поля, кЛк: 60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Диаметр светового поля d10 на расстоянии 1м, мм: не менее 250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Диаметр светового поля d50, на расстоянии 1м, мм: не менее 130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Цветовая температура, °К: нерегулируемая – не менее 4400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Индекс цветопередачи (RA): не менее 97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Регулируемая освещенность: (в диапазоне не менее 25-100% от максимальной освещенности) с помощью трехступенчатого регулятора системы «</w:t>
            </w:r>
            <w:r>
              <w:rPr>
                <w:rFonts w:cs="Times New Roman"/>
                <w:sz w:val="22"/>
                <w:szCs w:val="22"/>
                <w:lang w:val="en-GB"/>
              </w:rPr>
              <w:t>np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GB"/>
              </w:rPr>
              <w:t>touch</w:t>
            </w:r>
            <w:r>
              <w:rPr>
                <w:rFonts w:cs="Times New Roman"/>
                <w:sz w:val="22"/>
                <w:szCs w:val="22"/>
              </w:rPr>
              <w:t>».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Повышение температуры в области головы хирурга &lt;1°C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Глубина освещенности: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GB"/>
              </w:rPr>
              <w:t>L</w:t>
            </w:r>
            <w:r>
              <w:rPr>
                <w:rFonts w:cs="Times New Roman"/>
                <w:sz w:val="22"/>
                <w:szCs w:val="22"/>
              </w:rPr>
              <w:t>1+</w:t>
            </w:r>
            <w:r>
              <w:rPr>
                <w:rFonts w:cs="Times New Roman"/>
                <w:sz w:val="22"/>
                <w:szCs w:val="22"/>
                <w:lang w:val="en-GB"/>
              </w:rPr>
              <w:t>L</w:t>
            </w:r>
            <w:r>
              <w:rPr>
                <w:rFonts w:cs="Times New Roman"/>
                <w:sz w:val="22"/>
                <w:szCs w:val="22"/>
              </w:rPr>
              <w:t>2, 20% - не менее 194 см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GB"/>
              </w:rPr>
              <w:t>L</w:t>
            </w:r>
            <w:r>
              <w:rPr>
                <w:rFonts w:cs="Times New Roman"/>
                <w:sz w:val="22"/>
                <w:szCs w:val="22"/>
              </w:rPr>
              <w:t>1+</w:t>
            </w:r>
            <w:r>
              <w:rPr>
                <w:rFonts w:cs="Times New Roman"/>
                <w:sz w:val="22"/>
                <w:szCs w:val="22"/>
                <w:lang w:val="en-GB"/>
              </w:rPr>
              <w:t>L</w:t>
            </w:r>
            <w:r>
              <w:rPr>
                <w:rFonts w:cs="Times New Roman"/>
                <w:sz w:val="22"/>
                <w:szCs w:val="22"/>
              </w:rPr>
              <w:t>2, 60% - не менее 120 см</w:t>
            </w:r>
          </w:p>
          <w:p>
            <w:pPr>
              <w:pStyle w:val="Akapitzlist"/>
              <w:ind w:hanging="0" w:left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Напряжение питания: 24 В пост.тока</w:t>
            </w:r>
          </w:p>
          <w:p>
            <w:pPr>
              <w:pStyle w:val="Akapitzlist"/>
              <w:spacing w:before="0" w:after="0"/>
              <w:ind w:hanging="0" w:left="31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Потребляемая мощность купола светильника -не менее 20 Вт</w:t>
            </w:r>
          </w:p>
          <w:p>
            <w:pPr>
              <w:pStyle w:val="Akapitzlist"/>
              <w:spacing w:before="0" w:after="0"/>
              <w:ind w:hanging="0" w:left="31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Мин.потребляемая мощность светильника – не менее 50 VA</w:t>
            </w:r>
          </w:p>
          <w:p>
            <w:pPr>
              <w:pStyle w:val="Akapitzlist"/>
              <w:spacing w:before="0" w:after="0"/>
              <w:ind w:hanging="0" w:left="31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Класс защиты от поражения электрическим током -I</w:t>
            </w:r>
          </w:p>
          <w:p>
            <w:pPr>
              <w:pStyle w:val="Akapitzlist"/>
              <w:spacing w:before="0" w:after="0"/>
              <w:ind w:hanging="0" w:left="31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Степень защиты корпуса (касается подвески) -IP 20</w:t>
            </w:r>
          </w:p>
          <w:p>
            <w:pPr>
              <w:pStyle w:val="Bezodstpw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Степень защиты купола – </w:t>
            </w: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 xml:space="preserve">IP </w:t>
            </w: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43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шт</w:t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3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Прямой кронштейн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"/>
              <w:ind w:hanging="0"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Предназначен для соединения с подвесным кронштейном купола.</w:t>
            </w:r>
          </w:p>
          <w:p>
            <w:pPr>
              <w:pStyle w:val="Akapitzlist"/>
              <w:spacing w:before="0" w:after="200"/>
              <w:ind w:hanging="0" w:left="31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GB"/>
              </w:rPr>
              <w:t>C</w:t>
            </w:r>
            <w:r>
              <w:rPr>
                <w:rFonts w:cs="Times New Roman"/>
                <w:sz w:val="22"/>
                <w:szCs w:val="22"/>
              </w:rPr>
              <w:t>тальной кронштейн, крепящийся к штативу, длиной не менее 670 мм.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snapToGrid w:val="fals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3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Верхняя и нижняя часть штатива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Верхняя и нижняя часть штатива, должна предназначаться для соединения с подвесным кронштейном купола.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Описание: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стальной штатив, состоящий из двух элементов (для удобства пакования), общей длиной не менее 1310 мм. Диаметр штатива не менее 56 мм, ширина стенок стали не менее 3,6 мм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шт.</w:t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3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Основание с блоком питания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Основание с блоком питания на колесах для свободного перемещения светильника.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Описание: стальное основание в виде пластины на 4-х двойных колесах диаметром не менее 50 мм, два из которых с блокировкой. Длина пластины – не менее 700 мм, ширина – не менее 500 мм. К основанию прикреплен блок питания, покрытый алюминиевым кожухом круглой формы.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3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10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Расходные материалы и изнашиваемые узлы:</w:t>
            </w:r>
          </w:p>
        </w:tc>
      </w:tr>
      <w:tr>
        <w:trPr>
          <w:trHeight w:val="141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</w:rPr>
            </w:r>
          </w:p>
        </w:tc>
        <w:tc>
          <w:tcPr>
            <w:tcW w:w="3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0" w:right="-10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Стерильная ручка</w:t>
            </w:r>
          </w:p>
          <w:p>
            <w:pPr>
              <w:pStyle w:val="Bezodstpw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333333"/>
                <w:sz w:val="22"/>
                <w:szCs w:val="22"/>
              </w:rPr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snapToGrid w:val="fals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Стерильная ручка. Специальная ручка для позиционирования светильника. Стерилизуемая.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Описание: ручка блока освещения съемная, стерилизуемая.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Температура стерилизации съемной ручки, ºС: 134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Изготовлена из MALEN PJ – 400 (изотактический  полипропилен и пропилен-этиленовый полимер натурального цвета)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шт.</w:t>
            </w:r>
          </w:p>
        </w:tc>
      </w:tr>
      <w:tr>
        <w:trPr>
          <w:trHeight w:val="1705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Требования к хранению и транспортировке</w:t>
            </w:r>
          </w:p>
        </w:tc>
        <w:tc>
          <w:tcPr>
            <w:tcW w:w="10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Питающая силовая линия должна иметь заземление, стабильное и бесперебойное напряжение питания 100-240 В. Для подключения оборудования требуется розетка с 3-х проводной схемой электропитания: фаза, нейтраль, заземление. Рекомендуемое напряжение питания 220 Вольт, 20А, частота питание 50Гц.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 отсутствии стабильного и бесперебойного электропитания,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техники/изделия.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Рекомендуемый диапазон температуры:</w:t>
            </w:r>
          </w:p>
          <w:p>
            <w:pPr>
              <w:pStyle w:val="Akapitzlis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</w:tabs>
              <w:suppressAutoHyphens w:val="false"/>
              <w:spacing w:lineRule="auto" w:line="240" w:before="141" w:after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  <w:t>температура</w:t>
              <w:tab/>
              <w:t>от -20ºC до +50ºC-</w:t>
            </w:r>
            <w:r>
              <w:rPr/>
              <w:drawing>
                <wp:inline distT="0" distB="0" distL="0" distR="0">
                  <wp:extent cx="139700" cy="215265"/>
                  <wp:effectExtent l="0" t="0" r="0" b="0"/>
                  <wp:docPr id="4" name="image3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68" t="-110" r="-168" b="-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kapitzlis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</w:tabs>
              <w:suppressAutoHyphens w:val="false"/>
              <w:spacing w:lineRule="auto" w:line="240" w:before="141" w:after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относительная влажность </w:t>
              <w:tab/>
              <w:t>10 ÷ 95%</w:t>
              <w:tab/>
            </w:r>
            <w:r>
              <w:rPr/>
              <w:drawing>
                <wp:inline distT="0" distB="0" distL="0" distR="0">
                  <wp:extent cx="225425" cy="226060"/>
                  <wp:effectExtent l="0" t="0" r="0" b="0"/>
                  <wp:docPr id="5" name="image3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01" t="-101" r="-101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kapitzlis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  <w:tab w:val="left" w:pos="7456" w:leader="none"/>
              </w:tabs>
              <w:suppressAutoHyphens w:val="false"/>
              <w:spacing w:lineRule="auto" w:line="240" w:before="98" w:after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атмосферное давление</w:t>
              <w:tab/>
              <w:t>500 ÷ 1060 гПа</w:t>
              <w:tab/>
            </w:r>
            <w:r>
              <w:rPr/>
              <w:drawing>
                <wp:inline distT="0" distB="0" distL="0" distR="0">
                  <wp:extent cx="241300" cy="241300"/>
                  <wp:effectExtent l="0" t="0" r="0" b="0"/>
                  <wp:docPr id="6" name="image3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97" t="-97" r="-97" b="-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138" w:after="0"/>
              <w:jc w:val="both"/>
              <w:rPr>
                <w:rFonts w:ascii="Times New Roman" w:hAnsi="Times New Roman" w:eastAsia="Arial" w:cs="Times New Roman"/>
                <w:sz w:val="22"/>
                <w:szCs w:val="22"/>
                <w:lang w:eastAsia="en-US"/>
              </w:rPr>
            </w:pPr>
            <w:r>
              <w:rPr>
                <w:rFonts w:eastAsia="Arial" w:cs="Times New Roman"/>
                <w:sz w:val="22"/>
                <w:szCs w:val="22"/>
                <w:lang w:eastAsia="en-US"/>
              </w:rPr>
              <w:t>Рекомендуемые условия рабочей среды: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019" w:leader="none"/>
                <w:tab w:val="left" w:pos="1020" w:leader="none"/>
                <w:tab w:val="left" w:pos="5545" w:leader="none"/>
              </w:tabs>
              <w:suppressAutoHyphens w:val="false"/>
              <w:spacing w:lineRule="auto" w:line="240" w:before="138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" w:cs="Times New Roman"/>
                <w:sz w:val="22"/>
                <w:szCs w:val="22"/>
                <w:lang w:eastAsia="en-US"/>
              </w:rPr>
              <w:t>температура окружающей среды</w:t>
              <w:tab/>
              <w:t>+10ºC до +40ºC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019" w:leader="none"/>
                <w:tab w:val="left" w:pos="1020" w:leader="none"/>
                <w:tab w:val="left" w:pos="5545" w:leader="none"/>
              </w:tabs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sz w:val="22"/>
                <w:szCs w:val="22"/>
                <w:lang w:eastAsia="en-US"/>
              </w:rPr>
            </w:pPr>
            <w:r>
              <w:rPr>
                <w:rFonts w:eastAsia="Arial" w:cs="Times New Roman"/>
                <w:sz w:val="22"/>
                <w:szCs w:val="22"/>
                <w:lang w:eastAsia="en-US"/>
              </w:rPr>
              <w:t>относительная влажность</w:t>
              <w:tab/>
              <w:t>30 ÷ 95%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019" w:leader="none"/>
                <w:tab w:val="left" w:pos="1020" w:leader="none"/>
                <w:tab w:val="left" w:pos="5545" w:leader="none"/>
              </w:tabs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" w:cs="Times New Roman"/>
                <w:sz w:val="22"/>
                <w:szCs w:val="22"/>
                <w:lang w:eastAsia="en-US"/>
              </w:rPr>
              <w:t>атмосферное давление</w:t>
              <w:tab/>
              <w:t>700 ÷ 1060 гПа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47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Условия осуществления поставки медицинской техники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(в соответствии с ИНКОТЕРМС 2020)</w:t>
            </w:r>
          </w:p>
        </w:tc>
        <w:tc>
          <w:tcPr>
            <w:tcW w:w="10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GB"/>
              </w:rPr>
              <w:t>DDP Область Абай, село Бородулиха, улица Ф.Середина, 66</w:t>
            </w:r>
          </w:p>
        </w:tc>
      </w:tr>
      <w:tr>
        <w:trPr>
          <w:trHeight w:val="47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Срок поставки медицинской техники и место дислокации</w:t>
            </w:r>
          </w:p>
        </w:tc>
        <w:tc>
          <w:tcPr>
            <w:tcW w:w="10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До 1 декабря 2023 года</w:t>
            </w:r>
          </w:p>
          <w:p>
            <w:pPr>
              <w:pStyle w:val="Bezodstpw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Область Абай, село Бородулиха, улица Ф.Середина, 66</w:t>
            </w:r>
          </w:p>
        </w:tc>
      </w:tr>
      <w:tr>
        <w:trPr>
          <w:trHeight w:val="234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Гарантийное сервисное обслуживание медицинской техники не менее 37 месяцев.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замену отработавших ресурс составных частей;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замену или восстановление отдельных частей медицинской техники;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Heading4"/>
        <w:numPr>
          <w:ilvl w:val="3"/>
          <w:numId w:val="3"/>
        </w:numPr>
        <w:rPr/>
      </w:pPr>
      <w:r>
        <w:rPr/>
      </w:r>
    </w:p>
    <w:p>
      <w:pPr>
        <w:pStyle w:val="Heading4"/>
        <w:numPr>
          <w:ilvl w:val="3"/>
          <w:numId w:val="3"/>
        </w:numPr>
        <w:ind w:hanging="0" w:left="0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Heading4"/>
        <w:numPr>
          <w:ilvl w:val="3"/>
          <w:numId w:val="3"/>
        </w:numPr>
        <w:rPr>
          <w:lang w:val="ru-RU" w:eastAsia="zh-CN" w:bidi="ar-SA"/>
        </w:rPr>
      </w:pPr>
      <w:bookmarkStart w:id="4" w:name="__RefHeading___Toc10983_569103873"/>
      <w:bookmarkEnd w:id="4"/>
      <w:r>
        <w:rPr>
          <w:lang w:val="ru-RU" w:eastAsia="zh-CN" w:bidi="ar-SA"/>
        </w:rPr>
        <w:t>Условия ко всем пунктам технической спецификации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Товары должны быть новыми и ранее неиспользованными. Дата изготовления Товаров должна быть не ранее 2023 г., если иное не оговорено в тендерной документации.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языках. Ввоз и реализация Товаров должны осуществляться в соответствии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должно быть 220 Вт без дополнительных переходников или трансформаторов. Срок гарантии на оборудование, гарантийного сервисного и технического обслуживания и ремонта не менее 37 месяцев с момента ввода оборудования в эксплуатацию (если иное не оговорено в Приложении № 1 к тендерной документации). 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уведомления. Наличие диплом - сертификата инженера, для сервисного и технического обслуживания и ремонта на предлагаемое оборудование. К технической спецификации потенциального поставщика кроме описания технических и эксплуатационных характеристик, а также моделей и производителей, должны прилагаться фотографии поставляемых товаров. Товары, относящиеся к измерительным средствам, должны быть внесены в реестр СИ Республики Казахстан,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документов. Не позднее, чем за 30 календарных дней до инсталляции оборудования, поставщик должен уведомить конечного потребителя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 должно проходить в стандартные проёмы дверей (ширина 80 см, высота 200 см).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т.д.), обучение персонала осуществляет поставщик.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Поставщик обязан поставить товары на условиях DDP – Область Абай, село Бородулиха, улица Ф.Середина, 66 (ИНКОТЕРМС - 2010), провести инсталляцию медицинской техники, провести обучение медицинского персонала на рабочем месте, если иное не оговорено в технической спецификации.</w:t>
      </w:r>
    </w:p>
    <w:p>
      <w:pPr>
        <w:pStyle w:val="BodyText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 w:righ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Содержание</w:t>
          </w:r>
        </w:p>
        <w:p>
          <w:pPr>
            <w:pStyle w:val="TOC4"/>
            <w:tabs>
              <w:tab w:val="clear" w:pos="13721"/>
              <w:tab w:val="right" w:pos="14570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8794_3712210509">
            <w:r>
              <w:rPr>
                <w:rStyle w:val="IndexLink"/>
              </w:rPr>
              <w:t>Приложение 1 к тендерной документации для тендера №9 «Медицинское оборудование (повторный закуп)»</w:t>
              <w:tab/>
              <w:t>1</w:t>
            </w:r>
          </w:hyperlink>
        </w:p>
        <w:p>
          <w:pPr>
            <w:pStyle w:val="TOC4"/>
            <w:tabs>
              <w:tab w:val="clear" w:pos="13721"/>
              <w:tab w:val="right" w:pos="14570" w:leader="dot"/>
            </w:tabs>
            <w:rPr/>
          </w:pPr>
          <w:hyperlink w:anchor="__RefHeading___Toc19830_830770702">
            <w:r>
              <w:rPr>
                <w:rStyle w:val="IndexLink"/>
              </w:rPr>
              <w:t>Перечень технических спецификаций</w:t>
              <w:tab/>
              <w:t>1</w:t>
            </w:r>
          </w:hyperlink>
        </w:p>
        <w:p>
          <w:pPr>
            <w:pStyle w:val="TOC4"/>
            <w:tabs>
              <w:tab w:val="clear" w:pos="13721"/>
              <w:tab w:val="right" w:pos="14570" w:leader="dot"/>
            </w:tabs>
            <w:rPr/>
          </w:pPr>
          <w:hyperlink w:anchor="__RefHeading___Toc653_1205538732">
            <w:r>
              <w:rPr>
                <w:rStyle w:val="IndexLink"/>
              </w:rPr>
              <w:t>1. Кресло гинекологическое</w:t>
              <w:tab/>
              <w:t>1</w:t>
            </w:r>
          </w:hyperlink>
        </w:p>
        <w:p>
          <w:pPr>
            <w:pStyle w:val="TOC4"/>
            <w:tabs>
              <w:tab w:val="clear" w:pos="13721"/>
              <w:tab w:val="right" w:pos="14570" w:leader="dot"/>
            </w:tabs>
            <w:rPr/>
          </w:pPr>
          <w:hyperlink w:anchor="__RefHeading___Toc1917_858091294">
            <w:r>
              <w:rPr>
                <w:rStyle w:val="IndexLink"/>
              </w:rPr>
              <w:t>2. Светильник медицинский смотровой</w:t>
              <w:tab/>
              <w:t>4</w:t>
            </w:r>
          </w:hyperlink>
        </w:p>
        <w:p>
          <w:pPr>
            <w:pStyle w:val="TOC4"/>
            <w:tabs>
              <w:tab w:val="clear" w:pos="13721"/>
              <w:tab w:val="right" w:pos="14570" w:leader="dot"/>
            </w:tabs>
            <w:rPr/>
          </w:pPr>
          <w:hyperlink w:anchor="__RefHeading___Toc10983_569103873">
            <w:r>
              <w:rPr>
                <w:rStyle w:val="IndexLink"/>
              </w:rPr>
              <w:t>Условия ко всем пунктам технической спецификации</w:t>
              <w:tab/>
              <w:t>8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left" w:pos="3969" w:leader="none"/>
        </w:tabs>
        <w:ind w:firstLine="708" w:left="0" w:right="0"/>
        <w:jc w:val="both"/>
        <w:rPr>
          <w:lang w:val="ru-RU" w:eastAsia="zh-CN" w:bidi="ar-SA"/>
        </w:rPr>
      </w:pPr>
      <w:r>
        <w:rPr>
          <w:lang w:val="ru-RU" w:eastAsia="zh-CN" w:bidi="ar-SA"/>
        </w:rPr>
      </w:r>
    </w:p>
    <w:sectPr>
      <w:footerReference w:type="default" r:id="rId8"/>
      <w:type w:val="nextPage"/>
      <w:pgSz w:orient="landscape" w:w="16838" w:h="11906"/>
      <w:pgMar w:left="1701" w:right="567" w:gutter="0" w:header="0" w:top="1134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Roboto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3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3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3"/>
      </w:numPr>
      <w:spacing w:before="200" w:after="0"/>
      <w:outlineLvl w:val="2"/>
    </w:pPr>
    <w:rPr>
      <w:rFonts w:ascii="Roboto" w:hAnsi="Roboto" w:cs="Cambria"/>
      <w:b/>
      <w:bCs/>
      <w:color w:val="auto"/>
      <w:sz w:val="32"/>
      <w:lang w:val="ru-RU"/>
    </w:rPr>
  </w:style>
  <w:style w:type="paragraph" w:styleId="Heading4">
    <w:name w:val="Heading 4"/>
    <w:basedOn w:val="Heading"/>
    <w:next w:val="BodyText"/>
    <w:qFormat/>
    <w:pPr>
      <w:numPr>
        <w:ilvl w:val="3"/>
        <w:numId w:val="3"/>
      </w:numPr>
      <w:spacing w:before="120" w:after="120"/>
      <w:outlineLvl w:val="3"/>
    </w:pPr>
    <w:rPr>
      <w:rFonts w:ascii="Times New Roman" w:hAnsi="Times New Roman"/>
      <w:b/>
      <w:bCs/>
      <w:i w:val="false"/>
      <w:i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MS Gothic" w:hAnsi="OpenSymbol;MS Gothic" w:cs="OpenSymbol;MS Gothic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4z0">
    <w:name w:val="WW8Num4z0"/>
    <w:qFormat/>
    <w:rPr>
      <w:rFonts w:ascii="Symbol" w:hAnsi="Symbol" w:cs="OpenSymbol;MS Gothic"/>
    </w:rPr>
  </w:style>
  <w:style w:type="character" w:styleId="WW8Num4z1">
    <w:name w:val="WW8Num4z1"/>
    <w:qFormat/>
    <w:rPr>
      <w:rFonts w:ascii="OpenSymbol;MS Gothic" w:hAnsi="OpenSymbol;MS Gothic" w:cs="OpenSymbol;MS Gothic"/>
    </w:rPr>
  </w:style>
  <w:style w:type="character" w:styleId="WW8Num5z0">
    <w:name w:val="WW8Num5z0"/>
    <w:qFormat/>
    <w:rPr>
      <w:rFonts w:ascii="Symbol" w:hAnsi="Symbol" w:cs="OpenSymbol;MS Gothic"/>
      <w:sz w:val="20"/>
      <w:szCs w:val="20"/>
      <w:lang w:val="en-US"/>
    </w:rPr>
  </w:style>
  <w:style w:type="character" w:styleId="WW8Num5z1">
    <w:name w:val="WW8Num5z1"/>
    <w:qFormat/>
    <w:rPr>
      <w:rFonts w:ascii="OpenSymbol;MS Gothic" w:hAnsi="OpenSymbol;MS Gothic" w:cs="OpenSymbol;MS Gothic"/>
    </w:rPr>
  </w:style>
  <w:style w:type="character" w:styleId="WW8Num6z0">
    <w:name w:val="WW8Num6z0"/>
    <w:qFormat/>
    <w:rPr>
      <w:rFonts w:ascii="Symbol" w:hAnsi="Symbol" w:cs="OpenSymbol;MS Gothic"/>
      <w:sz w:val="20"/>
      <w:szCs w:val="20"/>
      <w:lang w:val="en-US"/>
    </w:rPr>
  </w:style>
  <w:style w:type="character" w:styleId="WW8Num6z1">
    <w:name w:val="WW8Num6z1"/>
    <w:qFormat/>
    <w:rPr>
      <w:rFonts w:ascii="OpenSymbol;MS Gothic" w:hAnsi="OpenSymbol;MS Gothic" w:cs="OpenSymbol;MS Gothic"/>
    </w:rPr>
  </w:style>
  <w:style w:type="character" w:styleId="WW8Num7z0">
    <w:name w:val="WW8Num7z0"/>
    <w:qFormat/>
    <w:rPr>
      <w:rFonts w:ascii="Symbol" w:hAnsi="Symbol" w:cs="OpenSymbol;MS Gothic"/>
    </w:rPr>
  </w:style>
  <w:style w:type="character" w:styleId="WW8Num7z1">
    <w:name w:val="WW8Num7z1"/>
    <w:qFormat/>
    <w:rPr>
      <w:rFonts w:ascii="OpenSymbol;MS Gothic" w:hAnsi="OpenSymbol;MS Gothic" w:cs="OpenSymbol;MS Gothic"/>
    </w:rPr>
  </w:style>
  <w:style w:type="character" w:styleId="WW8Num8z0">
    <w:name w:val="WW8Num8z0"/>
    <w:qFormat/>
    <w:rPr>
      <w:rFonts w:ascii="Symbol" w:hAnsi="Symbol" w:cs="OpenSymbol;MS Gothic"/>
    </w:rPr>
  </w:style>
  <w:style w:type="character" w:styleId="WW8Num8z1">
    <w:name w:val="WW8Num8z1"/>
    <w:qFormat/>
    <w:rPr>
      <w:rFonts w:ascii="OpenSymbol;MS Gothic" w:hAnsi="OpenSymbol;MS Gothic" w:cs="OpenSymbol;MS Gothic"/>
    </w:rPr>
  </w:style>
  <w:style w:type="character" w:styleId="WW8Num9z0">
    <w:name w:val="WW8Num9z0"/>
    <w:qFormat/>
    <w:rPr>
      <w:rFonts w:ascii="Symbol" w:hAnsi="Symbol" w:cs="OpenSymbol;MS Gothic"/>
      <w:sz w:val="20"/>
      <w:szCs w:val="20"/>
    </w:rPr>
  </w:style>
  <w:style w:type="character" w:styleId="WW8Num9z1">
    <w:name w:val="WW8Num9z1"/>
    <w:qFormat/>
    <w:rPr>
      <w:rFonts w:ascii="OpenSymbol;MS Gothic" w:hAnsi="OpenSymbol;MS Gothic" w:cs="OpenSymbol;MS Gothic"/>
    </w:rPr>
  </w:style>
  <w:style w:type="character" w:styleId="WW8Num10z0">
    <w:name w:val="WW8Num10z0"/>
    <w:qFormat/>
    <w:rPr>
      <w:rFonts w:cs="Times New Roman"/>
      <w:i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  <w:szCs w:val="20"/>
    </w:rPr>
  </w:style>
  <w:style w:type="character" w:styleId="WW8Num16z1">
    <w:name w:val="WW8Num16z1"/>
    <w:qFormat/>
    <w:rPr>
      <w:rFonts w:ascii="OpenSymbol;MS Gothic" w:hAnsi="OpenSymbol;MS Gothic" w:cs="OpenSymbol;MS Gothic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rFonts w:cs="Times New Roman"/>
      <w:i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cs="Times New Roman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Arial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Times New Roman" w:hAnsi="Times New Roman" w:cs="Times New Roman"/>
      <w:b/>
      <w:bCs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b/>
      <w:bCs/>
      <w:sz w:val="2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Style10">
    <w:name w:val="Основной шрифт абзаца"/>
    <w:qFormat/>
    <w:rPr/>
  </w:style>
  <w:style w:type="character" w:styleId="Style11">
    <w:name w:val="Без интервала Знак"/>
    <w:qFormat/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Default">
    <w:name w:val="Default Знак"/>
    <w:qFormat/>
    <w:rPr>
      <w:rFonts w:ascii="Times New Roman" w:hAnsi="Times New Roman" w:eastAsia="Times New Roman" w:cs="Times New Roman"/>
      <w:color w:val="000000"/>
      <w:sz w:val="24"/>
      <w:szCs w:val="24"/>
      <w:lang w:bidi="ar-SA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NoSpacingTimesNewRoman">
    <w:name w:val="No Spacing + Times New Roman Знак"/>
    <w:qFormat/>
    <w:rPr>
      <w:rFonts w:ascii="Times New Roman" w:hAnsi="Times New Roman" w:eastAsia="Times New Roman" w:cs="Times New Roman"/>
      <w:sz w:val="18"/>
      <w:szCs w:val="18"/>
    </w:rPr>
  </w:style>
  <w:style w:type="character" w:styleId="NoSpacingChar">
    <w:name w:val="No Spacing Char"/>
    <w:qFormat/>
    <w:rPr>
      <w:rFonts w:eastAsia="Times New Roman"/>
      <w:sz w:val="22"/>
      <w:szCs w:val="22"/>
      <w:lang w:val="ru-RU" w:bidi="ar-SA"/>
    </w:rPr>
  </w:style>
  <w:style w:type="character" w:styleId="1">
    <w:name w:val="Стиль1 Знак"/>
    <w:qFormat/>
    <w:rPr>
      <w:rFonts w:ascii="Times New Roman" w:hAnsi="Times New Roman" w:eastAsia="Calibri" w:cs="Times New Roman"/>
      <w:sz w:val="20"/>
    </w:rPr>
  </w:style>
  <w:style w:type="character" w:styleId="Style14">
    <w:name w:val="Обычный (веб)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Style15">
    <w:name w:val="Основной текст_"/>
    <w:qFormat/>
    <w:rPr>
      <w:rFonts w:ascii="Arial" w:hAnsi="Arial" w:eastAsia="Arial" w:cs="Arial"/>
      <w:sz w:val="17"/>
      <w:szCs w:val="17"/>
      <w:shd w:fill="FFFFFF" w:val="clear"/>
    </w:rPr>
  </w:style>
  <w:style w:type="character" w:styleId="2">
    <w:name w:val="Основной текст2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Style16">
    <w:name w:val="Основной текст + Полужирный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5pt">
    <w:name w:val="Основной текст + 5 pt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0"/>
      <w:sz w:val="10"/>
      <w:szCs w:val="10"/>
      <w:shd w:fill="FFFFFF" w:val="clear"/>
      <w:vertAlign w:val="baseline"/>
      <w:lang w:val="en-US" w:bidi="en-US"/>
    </w:rPr>
  </w:style>
  <w:style w:type="character" w:styleId="21">
    <w:name w:val="Заголовок №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 w:bidi="ru-RU"/>
    </w:rPr>
  </w:style>
  <w:style w:type="character" w:styleId="22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7">
    <w:name w:val="Выделение"/>
    <w:qFormat/>
    <w:rPr>
      <w:i/>
      <w:iCs/>
    </w:rPr>
  </w:style>
  <w:style w:type="character" w:styleId="10pt">
    <w:name w:val="Основной текст + 10 pt"/>
    <w:qFormat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ru-RU" w:bidi="ru-RU"/>
    </w:rPr>
  </w:style>
  <w:style w:type="character" w:styleId="Anrede1IhrZeichen">
    <w:name w:val="Anrede1IhrZeichen"/>
    <w:qFormat/>
    <w:rPr>
      <w:rFonts w:ascii="Arial" w:hAnsi="Arial" w:cs="Arial"/>
      <w:sz w:val="22"/>
    </w:rPr>
  </w:style>
  <w:style w:type="character" w:styleId="Style18">
    <w:name w:val="Подзаголовок Знак"/>
    <w:qFormat/>
    <w:rPr>
      <w:rFonts w:ascii="Arial" w:hAnsi="Arial" w:eastAsia="Times New Roman" w:cs="Times New Roman"/>
      <w:b/>
      <w:color w:val="0000FF"/>
      <w:sz w:val="24"/>
      <w:szCs w:val="24"/>
      <w:u w:val="single"/>
    </w:rPr>
  </w:style>
  <w:style w:type="character" w:styleId="Style19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20">
    <w:name w:val="Заголовок Знак"/>
    <w:qFormat/>
    <w:rPr>
      <w:rFonts w:ascii="Calibri Light" w:hAnsi="Calibri Light" w:eastAsia="Times New Roman" w:cs="Calibri Light"/>
      <w:b/>
      <w:bCs/>
      <w:kern w:val="2"/>
      <w:sz w:val="32"/>
      <w:szCs w:val="32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Tlid-translation">
    <w:name w:val="tlid-transla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8"/>
      <w:lang w:val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21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2">
    <w:name w:val="Стиль1"/>
    <w:basedOn w:val="Normal"/>
    <w:qFormat/>
    <w:pPr/>
    <w:rPr>
      <w:rFonts w:eastAsia="Calibri"/>
      <w:sz w:val="20"/>
      <w:szCs w:val="20"/>
      <w:lang w:val="ru-RU"/>
    </w:rPr>
  </w:style>
  <w:style w:type="paragraph" w:styleId="Style23">
    <w:name w:val="Абзац списка"/>
    <w:basedOn w:val="Normal"/>
    <w:qFormat/>
    <w:pPr>
      <w:widowControl w:val="false"/>
      <w:spacing w:before="0" w:after="0"/>
      <w:ind w:hanging="0" w:left="720" w:right="0"/>
      <w:contextualSpacing/>
    </w:pPr>
    <w:rPr>
      <w:rFonts w:ascii="Arial" w:hAnsi="Arial" w:cs="Arial"/>
      <w:sz w:val="20"/>
      <w:szCs w:val="20"/>
    </w:rPr>
  </w:style>
  <w:style w:type="paragraph" w:styleId="Style24">
    <w:name w:val="Без интервал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1">
    <w:name w:val="Default"/>
    <w:qFormat/>
    <w:pPr>
      <w:widowControl/>
      <w:suppressAutoHyphens w:val="true"/>
      <w:overflowPunct w:val="true"/>
      <w:bidi w:val="0"/>
      <w:spacing w:before="0" w:after="0"/>
      <w:ind w:firstLine="567" w:left="0" w:right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3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NoSpacingTimesNewRoman1">
    <w:name w:val="No Spacing + Times New Roman"/>
    <w:basedOn w:val="Normal"/>
    <w:qFormat/>
    <w:pPr/>
    <w:rPr>
      <w:sz w:val="18"/>
      <w:szCs w:val="18"/>
      <w:lang w:val="ru-RU"/>
    </w:rPr>
  </w:style>
  <w:style w:type="paragraph" w:styleId="14">
    <w:name w:val="Без интервала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25">
    <w:name w:val="Обычный (веб)"/>
    <w:basedOn w:val="Normal"/>
    <w:qFormat/>
    <w:pPr>
      <w:spacing w:before="280" w:after="280"/>
      <w:jc w:val="both"/>
    </w:pPr>
    <w:rPr>
      <w:lang w:val="ru-RU"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418"/>
      <w:ind w:hanging="360" w:left="0" w:right="0"/>
    </w:pPr>
    <w:rPr>
      <w:rFonts w:ascii="Arial" w:hAnsi="Arial" w:eastAsia="Arial" w:cs="Arial"/>
      <w:sz w:val="17"/>
      <w:szCs w:val="17"/>
      <w:lang w:val="ru-RU"/>
    </w:rPr>
  </w:style>
  <w:style w:type="paragraph" w:styleId="15">
    <w:name w:val="Абзац списка1"/>
    <w:basedOn w:val="Normal"/>
    <w:qFormat/>
    <w:pPr>
      <w:suppressAutoHyphens w:val="true"/>
      <w:ind w:hanging="0" w:left="720" w:right="0"/>
    </w:pPr>
    <w:rPr>
      <w:rFonts w:ascii="Calibri" w:hAnsi="Calibri" w:eastAsia="Calibri" w:cs="Calibri"/>
      <w:lang w:eastAsia="zh-CN"/>
    </w:rPr>
  </w:style>
  <w:style w:type="paragraph" w:styleId="23">
    <w:name w:val="Без интервала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Rtejustify">
    <w:name w:val="rtejustify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SimSun;宋体" w:cs="Mangal"/>
      <w:kern w:val="2"/>
      <w:lang w:bidi="hi-IN"/>
    </w:rPr>
  </w:style>
  <w:style w:type="paragraph" w:styleId="H-TextFormat">
    <w:name w:val="H-TextFormat"/>
    <w:next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en-US" w:eastAsia="zh-CN" w:bidi="ar-SA"/>
    </w:rPr>
  </w:style>
  <w:style w:type="paragraph" w:styleId="B">
    <w:name w:val="b"/>
    <w:basedOn w:val="Normal"/>
    <w:qFormat/>
    <w:pPr>
      <w:spacing w:before="280" w:after="280"/>
    </w:pPr>
    <w:rPr/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color w:val="0000FF"/>
      <w:u w:val="single"/>
      <w:lang w:val="ru-RU"/>
    </w:rPr>
  </w:style>
  <w:style w:type="paragraph" w:styleId="TableParagraph">
    <w:name w:val="Table Paragraph"/>
    <w:basedOn w:val="Normal"/>
    <w:qFormat/>
    <w:pPr>
      <w:widowControl w:val="false"/>
      <w:ind w:hanging="0" w:left="105" w:right="0"/>
    </w:pPr>
    <w:rPr>
      <w:sz w:val="22"/>
      <w:szCs w:val="22"/>
      <w:lang w:val="en-US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hi-IN"/>
    </w:rPr>
  </w:style>
  <w:style w:type="paragraph" w:styleId="NormalWeb">
    <w:name w:val="Normal (Web)"/>
    <w:basedOn w:val="Normal"/>
    <w:qFormat/>
    <w:pPr>
      <w:suppressAutoHyphens w:val="true"/>
      <w:spacing w:before="71" w:after="71"/>
    </w:pPr>
    <w:rPr>
      <w:color w:val="00000A"/>
    </w:rPr>
  </w:style>
  <w:style w:type="paragraph" w:styleId="16">
    <w:name w:val="Основной текст1"/>
    <w:basedOn w:val="Normal"/>
    <w:qFormat/>
    <w:pPr>
      <w:suppressAutoHyphens w:val="true"/>
    </w:pPr>
    <w:rPr>
      <w:sz w:val="28"/>
      <w:szCs w:val="28"/>
      <w:lang w:eastAsia="ar-SA"/>
    </w:rPr>
  </w:style>
  <w:style w:type="paragraph" w:styleId="IndexHeading">
    <w:name w:val="Index Heading"/>
    <w:basedOn w:val="Heading"/>
    <w:pPr>
      <w:suppressLineNumbers/>
      <w:ind w:hanging="0" w:left="0" w:right="0"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>
      <w:suppressLineNumbers/>
      <w:ind w:hanging="0" w:left="0" w:right="0"/>
    </w:pPr>
    <w:rPr>
      <w:b/>
      <w:bCs/>
      <w:sz w:val="32"/>
      <w:szCs w:val="32"/>
    </w:rPr>
  </w:style>
  <w:style w:type="paragraph" w:styleId="TOC4">
    <w:name w:val="TOC 4"/>
    <w:basedOn w:val="Index"/>
    <w:pPr>
      <w:tabs>
        <w:tab w:val="clear" w:pos="720"/>
        <w:tab w:val="right" w:pos="13721" w:leader="dot"/>
      </w:tabs>
      <w:ind w:hanging="0" w:left="849" w:right="0"/>
    </w:pPr>
    <w:rPr/>
  </w:style>
  <w:style w:type="paragraph" w:styleId="TOC3">
    <w:name w:val="TOC 3"/>
    <w:basedOn w:val="Index"/>
    <w:pPr>
      <w:tabs>
        <w:tab w:val="clear" w:pos="720"/>
        <w:tab w:val="right" w:pos="14004" w:leader="dot"/>
      </w:tabs>
      <w:ind w:hanging="0" w:left="566" w:right="0"/>
    </w:pPr>
    <w:rPr/>
  </w:style>
  <w:style w:type="paragraph" w:styleId="TOC7">
    <w:name w:val="TOC 7"/>
    <w:basedOn w:val="Index"/>
    <w:pPr>
      <w:tabs>
        <w:tab w:val="clear" w:pos="720"/>
        <w:tab w:val="right" w:pos="12872" w:leader="dot"/>
      </w:tabs>
      <w:ind w:hanging="0" w:left="1698" w:right="0"/>
    </w:pPr>
    <w:rPr/>
  </w:style>
  <w:style w:type="paragraph" w:styleId="TOC1">
    <w:name w:val="TOC 1"/>
    <w:basedOn w:val="Index"/>
    <w:pPr>
      <w:tabs>
        <w:tab w:val="clear" w:pos="720"/>
        <w:tab w:val="right" w:pos="14570" w:leader="dot"/>
      </w:tabs>
      <w:ind w:hanging="0" w:left="0" w:right="0"/>
    </w:pPr>
    <w:rPr/>
  </w:style>
  <w:style w:type="paragraph" w:styleId="TOC2">
    <w:name w:val="TOC 2"/>
    <w:basedOn w:val="Index"/>
    <w:pPr>
      <w:tabs>
        <w:tab w:val="clear" w:pos="720"/>
        <w:tab w:val="right" w:pos="14287" w:leader="dot"/>
      </w:tabs>
      <w:ind w:hanging="0" w:left="283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OCHeading">
    <w:name w:val="TOC Heading"/>
    <w:basedOn w:val="IndexHeading"/>
    <w:qFormat/>
    <w:pPr>
      <w:suppressLineNumbers/>
      <w:ind w:hanging="0" w:left="0" w:right="0"/>
    </w:pPr>
    <w:rPr>
      <w:b/>
      <w:bCs/>
      <w:sz w:val="32"/>
      <w:szCs w:val="32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Akapitzlist">
    <w:name w:val="Akapit z listą"/>
    <w:basedOn w:val="Normal"/>
    <w:qFormat/>
    <w:pPr>
      <w:spacing w:before="0" w:after="200"/>
      <w:ind w:hanging="0" w:left="72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2852</TotalTime>
  <Application>LibreOffice/7.6.2.1$Linux_X86_64 LibreOffice_project/60$Build-1</Application>
  <AppVersion>15.0000</AppVersion>
  <Pages>9</Pages>
  <Words>1614</Words>
  <Characters>10746</Characters>
  <CharactersWithSpaces>12182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2019-06-05T09:28:00Z</dcterms:created>
  <dc:creator>User</dc:creator>
  <dc:description/>
  <dc:language>ru-RU</dc:language>
  <cp:lastModifiedBy/>
  <cp:lastPrinted>2022-01-21T09:28:32Z</cp:lastPrinted>
  <dcterms:modified xsi:type="dcterms:W3CDTF">2023-11-03T15:21:18Z</dcterms:modified>
  <cp:revision>209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